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F1E" w14:textId="77777777" w:rsidR="000F4C01" w:rsidRPr="000F4C01" w:rsidRDefault="000F4C01" w:rsidP="000F4C01">
      <w:pPr>
        <w:rPr>
          <w:rFonts w:ascii="Calibri" w:hAnsi="Calibri" w:cs="Calibri"/>
          <w:b/>
        </w:rPr>
      </w:pPr>
      <w:proofErr w:type="spellStart"/>
      <w:r w:rsidRPr="000F4C01">
        <w:rPr>
          <w:rFonts w:ascii="Calibri" w:hAnsi="Calibri" w:cs="Calibri"/>
          <w:b/>
        </w:rPr>
        <w:t>Grasstops</w:t>
      </w:r>
      <w:proofErr w:type="spellEnd"/>
      <w:r w:rsidRPr="000F4C01">
        <w:rPr>
          <w:rFonts w:ascii="Calibri" w:hAnsi="Calibri" w:cs="Calibri"/>
          <w:b/>
        </w:rPr>
        <w:t xml:space="preserve"> Interest/Access Matrix</w:t>
      </w:r>
    </w:p>
    <w:p w14:paraId="06EE032A" w14:textId="77777777" w:rsidR="000F4C01" w:rsidRPr="000F4C01" w:rsidRDefault="000F4C01" w:rsidP="000F4C01">
      <w:pPr>
        <w:rPr>
          <w:rFonts w:ascii="Calibri" w:hAnsi="Calibri" w:cs="Calibri"/>
          <w:spacing w:val="1"/>
        </w:rPr>
      </w:pPr>
      <w:r w:rsidRPr="000F4C01">
        <w:rPr>
          <w:rFonts w:ascii="Calibri" w:hAnsi="Calibri" w:cs="Calibri"/>
          <w:spacing w:val="1"/>
        </w:rPr>
        <w:t xml:space="preserve">The following matrix is designed so ESA leaders can visually sort potential </w:t>
      </w:r>
      <w:proofErr w:type="spellStart"/>
      <w:r w:rsidRPr="000F4C01">
        <w:rPr>
          <w:rFonts w:ascii="Calibri" w:hAnsi="Calibri" w:cs="Calibri"/>
          <w:spacing w:val="1"/>
        </w:rPr>
        <w:t>grasstops</w:t>
      </w:r>
      <w:proofErr w:type="spellEnd"/>
      <w:r w:rsidRPr="000F4C01">
        <w:rPr>
          <w:rFonts w:ascii="Calibri" w:hAnsi="Calibri" w:cs="Calibri"/>
          <w:spacing w:val="1"/>
        </w:rPr>
        <w:t xml:space="preserve"> advocates by both their interest in ESA policy issues and their access to key policymakers. Completing it with your team helps surface priority </w:t>
      </w:r>
      <w:proofErr w:type="spellStart"/>
      <w:r w:rsidRPr="000F4C01">
        <w:rPr>
          <w:rFonts w:ascii="Calibri" w:hAnsi="Calibri" w:cs="Calibri"/>
          <w:spacing w:val="1"/>
        </w:rPr>
        <w:t>grasstops</w:t>
      </w:r>
      <w:proofErr w:type="spellEnd"/>
      <w:r w:rsidRPr="000F4C01">
        <w:rPr>
          <w:rFonts w:ascii="Calibri" w:hAnsi="Calibri" w:cs="Calibri"/>
          <w:spacing w:val="1"/>
        </w:rPr>
        <w:t xml:space="preserve"> recruits you may be overlooking today. High</w:t>
      </w:r>
      <w:r w:rsidRPr="000F4C01">
        <w:rPr>
          <w:rFonts w:ascii="Calibri" w:hAnsi="Calibri" w:cs="Calibri"/>
          <w:spacing w:val="1"/>
        </w:rPr>
        <w:noBreakHyphen/>
        <w:t>interest, high</w:t>
      </w:r>
      <w:r w:rsidRPr="000F4C01">
        <w:rPr>
          <w:rFonts w:ascii="Calibri" w:hAnsi="Calibri" w:cs="Calibri"/>
          <w:spacing w:val="1"/>
        </w:rPr>
        <w:noBreakHyphen/>
        <w:t>access individuals in the upper</w:t>
      </w:r>
      <w:r w:rsidRPr="000F4C01">
        <w:rPr>
          <w:rFonts w:ascii="Calibri" w:hAnsi="Calibri" w:cs="Calibri"/>
          <w:spacing w:val="1"/>
        </w:rPr>
        <w:noBreakHyphen/>
        <w:t>right quadrant should be your first calls for targeted advocacy outreach.</w:t>
      </w:r>
    </w:p>
    <w:p w14:paraId="73FC1DBF" w14:textId="77777777" w:rsidR="000F4C01" w:rsidRPr="000F4C01" w:rsidRDefault="000F4C01" w:rsidP="000F4C01">
      <w:pPr>
        <w:rPr>
          <w:rFonts w:ascii="Calibri" w:hAnsi="Calibri" w:cs="Calibri"/>
          <w:spacing w:val="1"/>
        </w:rPr>
      </w:pPr>
    </w:p>
    <w:p w14:paraId="2A0E3122" w14:textId="77777777" w:rsidR="000F4C01" w:rsidRPr="000F4C01" w:rsidRDefault="000F4C01" w:rsidP="000F4C01">
      <w:pPr>
        <w:rPr>
          <w:rFonts w:ascii="Calibri" w:hAnsi="Calibri" w:cs="Calibri"/>
          <w:spacing w:val="1"/>
        </w:rPr>
      </w:pPr>
      <w:r w:rsidRPr="000F4C01">
        <w:rPr>
          <w:rFonts w:ascii="Calibri" w:hAnsi="Calibri" w:cs="Calibri"/>
        </w:rPr>
        <w:t>Rate Individuals (1–5 Scale)</w:t>
      </w:r>
    </w:p>
    <w:p w14:paraId="7D7FABDB" w14:textId="77777777" w:rsidR="000F4C01" w:rsidRPr="000F4C01" w:rsidRDefault="000F4C01" w:rsidP="000F4C01">
      <w:pPr>
        <w:pStyle w:val="ListParagraph"/>
        <w:numPr>
          <w:ilvl w:val="0"/>
          <w:numId w:val="1"/>
        </w:numPr>
        <w:spacing w:after="120" w:line="240" w:lineRule="atLeast"/>
        <w:rPr>
          <w:rFonts w:ascii="Calibri" w:hAnsi="Calibri" w:cs="Calibri"/>
        </w:rPr>
      </w:pPr>
      <w:r w:rsidRPr="000F4C01">
        <w:rPr>
          <w:rFonts w:ascii="Calibri" w:hAnsi="Calibri" w:cs="Calibri"/>
        </w:rPr>
        <w:t>Interest in ESA Policy Issues</w:t>
      </w:r>
      <w:r w:rsidRPr="000F4C01">
        <w:rPr>
          <w:rFonts w:ascii="Calibri" w:hAnsi="Calibri" w:cs="Calibri"/>
        </w:rPr>
        <w:br/>
        <w:t>1 = low interest; 5 = consistently engaged, asks to be involved</w:t>
      </w:r>
    </w:p>
    <w:p w14:paraId="25F0EDD7" w14:textId="77777777" w:rsidR="000F4C01" w:rsidRPr="000F4C01" w:rsidRDefault="000F4C01" w:rsidP="000F4C01">
      <w:pPr>
        <w:pStyle w:val="ListParagraph"/>
        <w:numPr>
          <w:ilvl w:val="0"/>
          <w:numId w:val="1"/>
        </w:numPr>
        <w:spacing w:after="120" w:line="240" w:lineRule="atLeast"/>
        <w:rPr>
          <w:rFonts w:ascii="Calibri" w:hAnsi="Calibri" w:cs="Calibri"/>
        </w:rPr>
      </w:pPr>
      <w:r w:rsidRPr="000F4C01">
        <w:rPr>
          <w:rFonts w:ascii="Calibri" w:hAnsi="Calibri" w:cs="Calibri"/>
        </w:rPr>
        <w:t>Access to Target Policymakers</w:t>
      </w:r>
      <w:r w:rsidRPr="000F4C01">
        <w:rPr>
          <w:rFonts w:ascii="Calibri" w:hAnsi="Calibri" w:cs="Calibri"/>
        </w:rPr>
        <w:br/>
        <w:t>1 = no real access; 5 = direct, trusted relationship with state legislators or agency directors</w:t>
      </w:r>
    </w:p>
    <w:p w14:paraId="26E11F8F" w14:textId="77777777" w:rsidR="000F4C01" w:rsidRPr="000F4C01" w:rsidRDefault="000F4C01" w:rsidP="000F4C01">
      <w:pPr>
        <w:pStyle w:val="ListParagraph"/>
        <w:spacing w:after="120" w:line="240" w:lineRule="atLeast"/>
        <w:ind w:left="360"/>
        <w:rPr>
          <w:rFonts w:ascii="Calibri" w:hAnsi="Calibri" w:cs="Calibr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5116"/>
        <w:gridCol w:w="6448"/>
      </w:tblGrid>
      <w:tr w:rsidR="000F4C01" w:rsidRPr="000F4C01" w14:paraId="0E2FDC2F" w14:textId="77777777" w:rsidTr="006E29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15E99" w:themeFill="text2" w:themeFillTint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46B3F" w14:textId="77777777" w:rsidR="000F4C01" w:rsidRPr="000F4C01" w:rsidRDefault="000F4C01" w:rsidP="006E29D4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15E99" w:themeFill="text2" w:themeFillTint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30F80" w14:textId="77777777" w:rsidR="000F4C01" w:rsidRPr="000F4C01" w:rsidRDefault="000F4C01" w:rsidP="006E29D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F4C01">
              <w:rPr>
                <w:rFonts w:ascii="Calibri" w:hAnsi="Calibri" w:cs="Calibri"/>
                <w:b/>
                <w:bCs/>
                <w:color w:val="FFFFFF" w:themeColor="background1"/>
              </w:rPr>
              <w:t>Low Access (1–2)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15E99" w:themeFill="text2" w:themeFillTint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68382" w14:textId="77777777" w:rsidR="000F4C01" w:rsidRPr="000F4C01" w:rsidRDefault="000F4C01" w:rsidP="006E29D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F4C01">
              <w:rPr>
                <w:rFonts w:ascii="Calibri" w:hAnsi="Calibri" w:cs="Calibri"/>
                <w:b/>
                <w:bCs/>
                <w:color w:val="FFFFFF" w:themeColor="background1"/>
              </w:rPr>
              <w:t>High Access (4–5)</w:t>
            </w:r>
          </w:p>
        </w:tc>
      </w:tr>
      <w:tr w:rsidR="000F4C01" w:rsidRPr="000F4C01" w14:paraId="22DC855A" w14:textId="77777777" w:rsidTr="006E29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EB543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>High Interest (4–5)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CC266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>Quadrant A – Grassroots Leaders</w:t>
            </w:r>
            <w:r w:rsidRPr="000F4C01">
              <w:rPr>
                <w:rFonts w:ascii="Calibri" w:hAnsi="Calibri" w:cs="Calibri"/>
              </w:rPr>
              <w:t xml:space="preserve"> - Highly motivated but limited access. - Ideal for testimonies, stories, and mobilizing others.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AB4F2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 xml:space="preserve">Quadrant B – Priority </w:t>
            </w:r>
            <w:proofErr w:type="spellStart"/>
            <w:r w:rsidRPr="000F4C01">
              <w:rPr>
                <w:rFonts w:ascii="Calibri" w:hAnsi="Calibri" w:cs="Calibri"/>
                <w:b/>
                <w:bCs/>
              </w:rPr>
              <w:t>Grasstops</w:t>
            </w:r>
            <w:proofErr w:type="spellEnd"/>
            <w:r w:rsidRPr="000F4C01">
              <w:rPr>
                <w:rFonts w:ascii="Calibri" w:hAnsi="Calibri" w:cs="Calibri"/>
                <w:b/>
                <w:bCs/>
              </w:rPr>
              <w:t xml:space="preserve"> Recruits</w:t>
            </w:r>
            <w:r w:rsidRPr="000F4C01">
              <w:rPr>
                <w:rFonts w:ascii="Calibri" w:hAnsi="Calibri" w:cs="Calibri"/>
              </w:rPr>
              <w:t xml:space="preserve"> - High motivation and strong access. - Top targets for briefings, legislative meetings, and media quotes.</w:t>
            </w:r>
          </w:p>
        </w:tc>
      </w:tr>
      <w:tr w:rsidR="000F4C01" w:rsidRPr="000F4C01" w14:paraId="3D575171" w14:textId="77777777" w:rsidTr="006E29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49495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>Low Interest (1–2)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4C529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>Quadrant C – General Supporters</w:t>
            </w:r>
            <w:r w:rsidRPr="000F4C01">
              <w:rPr>
                <w:rFonts w:ascii="Calibri" w:hAnsi="Calibri" w:cs="Calibri"/>
              </w:rPr>
              <w:t xml:space="preserve"> - Minimal interest and limited access. - Keep informed; occasional low</w:t>
            </w:r>
            <w:r w:rsidRPr="000F4C01">
              <w:rPr>
                <w:rFonts w:ascii="Calibri" w:hAnsi="Calibri" w:cs="Calibri"/>
              </w:rPr>
              <w:noBreakHyphen/>
              <w:t>lift actions.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C961A" w14:textId="77777777" w:rsidR="000F4C01" w:rsidRPr="000F4C01" w:rsidRDefault="000F4C01" w:rsidP="006E29D4">
            <w:pPr>
              <w:rPr>
                <w:rFonts w:ascii="Calibri" w:hAnsi="Calibri" w:cs="Calibri"/>
              </w:rPr>
            </w:pPr>
            <w:r w:rsidRPr="000F4C01">
              <w:rPr>
                <w:rFonts w:ascii="Calibri" w:hAnsi="Calibri" w:cs="Calibri"/>
                <w:b/>
                <w:bCs/>
              </w:rPr>
              <w:t>Quadrant D – Strategic Relationships</w:t>
            </w:r>
            <w:r w:rsidRPr="000F4C01">
              <w:rPr>
                <w:rFonts w:ascii="Calibri" w:hAnsi="Calibri" w:cs="Calibri"/>
              </w:rPr>
              <w:t xml:space="preserve"> - Strong access but low current interest. - Focus on relationship</w:t>
            </w:r>
            <w:r w:rsidRPr="000F4C01">
              <w:rPr>
                <w:rFonts w:ascii="Calibri" w:hAnsi="Calibri" w:cs="Calibri"/>
              </w:rPr>
              <w:noBreakHyphen/>
              <w:t>building and values alignment before hard asks.</w:t>
            </w:r>
          </w:p>
        </w:tc>
      </w:tr>
    </w:tbl>
    <w:p w14:paraId="186B37A4" w14:textId="77777777" w:rsidR="00067129" w:rsidRPr="00E66B11" w:rsidRDefault="00067129"/>
    <w:sectPr w:rsidR="00067129" w:rsidRPr="00E66B11" w:rsidSect="00A55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7080"/>
    <w:multiLevelType w:val="hybridMultilevel"/>
    <w:tmpl w:val="96166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65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E"/>
    <w:rsid w:val="00067129"/>
    <w:rsid w:val="000F4C01"/>
    <w:rsid w:val="00445521"/>
    <w:rsid w:val="00A5554E"/>
    <w:rsid w:val="00CA1CCB"/>
    <w:rsid w:val="00D74699"/>
    <w:rsid w:val="00E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8F8"/>
  <w15:chartTrackingRefBased/>
  <w15:docId w15:val="{44304171-2691-4945-935B-DBF58DF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4E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leNormal"/>
    <w:uiPriority w:val="39"/>
    <w:rsid w:val="00A5554E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Sowder</dc:creator>
  <cp:keywords/>
  <dc:description/>
  <cp:lastModifiedBy>Claire Sowder</cp:lastModifiedBy>
  <cp:revision>2</cp:revision>
  <dcterms:created xsi:type="dcterms:W3CDTF">2026-01-05T21:41:00Z</dcterms:created>
  <dcterms:modified xsi:type="dcterms:W3CDTF">2026-01-05T21:41:00Z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38332d2e-6198-4fe6-bfc0-bc6fb2110f7f</vt:lpwstr>
  </property>
</Properties>
</file>