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FF438" w14:textId="5E7EA01B" w:rsidR="00AF7D6A" w:rsidRDefault="00A53E43">
      <w:r>
        <w:t xml:space="preserve">Our </w:t>
      </w:r>
      <w:r w:rsidR="00AF7D6A">
        <w:t>fourth and final</w:t>
      </w:r>
      <w:r>
        <w:t xml:space="preserve"> topic in the Minnesota Legislature update series is the introduction </w:t>
      </w:r>
      <w:r w:rsidR="00AF7D6A">
        <w:t>to Minnesota Paid Family and Medical Leave (PFML)</w:t>
      </w:r>
      <w:r>
        <w:t xml:space="preserve">, which </w:t>
      </w:r>
      <w:r w:rsidR="00AF7D6A">
        <w:t>applies to all employers in Minnesota, regardless of size</w:t>
      </w:r>
      <w:r>
        <w:t xml:space="preserve">. </w:t>
      </w:r>
      <w:r w:rsidR="00AF7D6A">
        <w:t>Luckily, we have some time before this new law goes into effect</w:t>
      </w:r>
      <w:r w:rsidR="0094020F">
        <w:t xml:space="preserve"> on</w:t>
      </w:r>
      <w:r w:rsidR="00AF7D6A">
        <w:t xml:space="preserve"> January 1, 2026. Employees and </w:t>
      </w:r>
      <w:r w:rsidR="0094020F">
        <w:t>e</w:t>
      </w:r>
      <w:r w:rsidR="00AF7D6A">
        <w:t>mployers will contribute to a state fund that will support the program</w:t>
      </w:r>
      <w:r w:rsidR="0094020F">
        <w:t>, which</w:t>
      </w:r>
      <w:r w:rsidR="00777AB7">
        <w:t xml:space="preserve"> will be administered by a new Family and Medical Benefit Insurance Division (Division).</w:t>
      </w:r>
    </w:p>
    <w:p w14:paraId="2437177F" w14:textId="4076534E" w:rsidR="00A53E43" w:rsidRDefault="00A53E43">
      <w:r>
        <w:t xml:space="preserve">Here </w:t>
      </w:r>
      <w:r w:rsidR="00AF7D6A">
        <w:t>are the basics</w:t>
      </w:r>
      <w:r>
        <w:t xml:space="preserve">: </w:t>
      </w:r>
    </w:p>
    <w:p w14:paraId="6ED2AD6A" w14:textId="3578F01A" w:rsidR="00AF7D6A" w:rsidRDefault="00AF7D6A" w:rsidP="00A53E43">
      <w:pPr>
        <w:rPr>
          <w:b/>
          <w:bCs/>
        </w:rPr>
      </w:pPr>
      <w:r>
        <w:rPr>
          <w:b/>
          <w:bCs/>
        </w:rPr>
        <w:t>When does PFML take effect?</w:t>
      </w:r>
    </w:p>
    <w:p w14:paraId="5F0CFE96" w14:textId="76062A29" w:rsidR="00AF7D6A" w:rsidRPr="00AF7D6A" w:rsidRDefault="00AF7D6A" w:rsidP="00A53E43">
      <w:r w:rsidRPr="00AF7D6A">
        <w:t>Employees may begin taking PFML on January 1, 2026, which is the same time employers and employees begin paying into the fund. Some portions of the statu</w:t>
      </w:r>
      <w:r w:rsidR="0094020F">
        <w:t>t</w:t>
      </w:r>
      <w:r w:rsidRPr="00AF7D6A">
        <w:t xml:space="preserve">e will be implemented before this date so the state can build the necessary infrastructure to administer it by the start date. </w:t>
      </w:r>
    </w:p>
    <w:p w14:paraId="46E2AF80" w14:textId="2E15A40B" w:rsidR="00A53E43" w:rsidRPr="00A53E43" w:rsidRDefault="00AF7D6A" w:rsidP="00A53E43">
      <w:r>
        <w:rPr>
          <w:b/>
          <w:bCs/>
        </w:rPr>
        <w:t>Eligible</w:t>
      </w:r>
      <w:r w:rsidR="00A53E43" w:rsidRPr="00A53E43">
        <w:rPr>
          <w:b/>
          <w:bCs/>
        </w:rPr>
        <w:t xml:space="preserve"> employees </w:t>
      </w:r>
      <w:r w:rsidR="00EC24DB">
        <w:rPr>
          <w:b/>
          <w:bCs/>
        </w:rPr>
        <w:t>i</w:t>
      </w:r>
      <w:r w:rsidR="00A53E43" w:rsidRPr="00A53E43">
        <w:rPr>
          <w:b/>
          <w:bCs/>
        </w:rPr>
        <w:t>nclude:</w:t>
      </w:r>
    </w:p>
    <w:p w14:paraId="0173ABAD" w14:textId="3AD10FC3" w:rsidR="00A53E43" w:rsidRPr="00A53E43" w:rsidRDefault="00A53E43" w:rsidP="00A53E43">
      <w:pPr>
        <w:numPr>
          <w:ilvl w:val="0"/>
          <w:numId w:val="1"/>
        </w:numPr>
      </w:pPr>
      <w:r w:rsidRPr="00A53E43">
        <w:t>All employees in Minnesota</w:t>
      </w:r>
      <w:r w:rsidR="00AF7D6A">
        <w:t xml:space="preserve">, </w:t>
      </w:r>
      <w:proofErr w:type="gramStart"/>
      <w:r w:rsidR="00FD02A4">
        <w:t>with the exception of</w:t>
      </w:r>
      <w:proofErr w:type="gramEnd"/>
      <w:r w:rsidR="00AF7D6A">
        <w:t>:</w:t>
      </w:r>
    </w:p>
    <w:p w14:paraId="4D8DCE15" w14:textId="52C25C38" w:rsidR="00A53E43" w:rsidRDefault="00AF7D6A" w:rsidP="00AF7D6A">
      <w:pPr>
        <w:numPr>
          <w:ilvl w:val="1"/>
          <w:numId w:val="1"/>
        </w:numPr>
        <w:spacing w:after="0"/>
      </w:pPr>
      <w:r>
        <w:t>Certain seasonal employees</w:t>
      </w:r>
    </w:p>
    <w:p w14:paraId="0558A431" w14:textId="01569186" w:rsidR="00AF7D6A" w:rsidRDefault="00AF7D6A" w:rsidP="00AF7D6A">
      <w:pPr>
        <w:numPr>
          <w:ilvl w:val="1"/>
          <w:numId w:val="1"/>
        </w:numPr>
      </w:pPr>
      <w:r>
        <w:t xml:space="preserve">Self-employed and independent contractors, </w:t>
      </w:r>
      <w:r w:rsidR="00FD02A4">
        <w:t xml:space="preserve">though </w:t>
      </w:r>
      <w:r>
        <w:t>they may elect to purchase coverage under the program.</w:t>
      </w:r>
    </w:p>
    <w:p w14:paraId="783A699E" w14:textId="75BC5337" w:rsidR="00AF7D6A" w:rsidRPr="00A53E43" w:rsidRDefault="00AF7D6A" w:rsidP="00AF7D6A">
      <w:pPr>
        <w:numPr>
          <w:ilvl w:val="0"/>
          <w:numId w:val="1"/>
        </w:numPr>
      </w:pPr>
      <w:r w:rsidRPr="00AF7D6A">
        <w:t>To receive benefits, an employee must have earned at least 5.3% of the state average annual wage over their </w:t>
      </w:r>
      <w:r w:rsidRPr="00AF7D6A">
        <w:rPr>
          <w:i/>
          <w:iCs/>
        </w:rPr>
        <w:t>base period</w:t>
      </w:r>
      <w:r w:rsidRPr="00AF7D6A">
        <w:t>, defined as the most recent four completed calendar quarters before the employee’s application for benefits. Currently, this amounts to annual earnings of about $3,500. The employee can aggregate wages earned from multiple employers to satisfy the financial eligibility test.</w:t>
      </w:r>
    </w:p>
    <w:p w14:paraId="5427EB59" w14:textId="657E2A12" w:rsidR="00A53E43" w:rsidRDefault="00AF7D6A" w:rsidP="00A53E43">
      <w:pPr>
        <w:rPr>
          <w:b/>
          <w:bCs/>
        </w:rPr>
      </w:pPr>
      <w:r>
        <w:rPr>
          <w:b/>
          <w:bCs/>
        </w:rPr>
        <w:t>Eligible reasons to use PFML leave</w:t>
      </w:r>
      <w:r w:rsidR="00A53E43" w:rsidRPr="00A53E43">
        <w:rPr>
          <w:b/>
          <w:bCs/>
        </w:rPr>
        <w:t>:</w:t>
      </w:r>
    </w:p>
    <w:p w14:paraId="09E8E6EA" w14:textId="77777777" w:rsidR="006B20A5" w:rsidRDefault="006B20A5" w:rsidP="00A53E43">
      <w:r w:rsidRPr="006B20A5">
        <w:t xml:space="preserve">Coverage falls into two categories: </w:t>
      </w:r>
    </w:p>
    <w:p w14:paraId="71F519A4" w14:textId="77777777" w:rsidR="006B20A5" w:rsidRDefault="006B20A5" w:rsidP="006B20A5">
      <w:pPr>
        <w:pStyle w:val="ListParagraph"/>
        <w:numPr>
          <w:ilvl w:val="0"/>
          <w:numId w:val="11"/>
        </w:numPr>
      </w:pPr>
      <w:r w:rsidRPr="006B20A5">
        <w:t xml:space="preserve">leave for the employee’s own serious health condition; and </w:t>
      </w:r>
    </w:p>
    <w:p w14:paraId="3420E84E" w14:textId="69FDA34F" w:rsidR="00AF7D6A" w:rsidRDefault="006B20A5" w:rsidP="006B20A5">
      <w:pPr>
        <w:pStyle w:val="ListParagraph"/>
        <w:numPr>
          <w:ilvl w:val="0"/>
          <w:numId w:val="11"/>
        </w:numPr>
      </w:pPr>
      <w:r w:rsidRPr="006B20A5">
        <w:t>other leave, including family care, bonding, safety, or qualifying exigency, defined as follows:</w:t>
      </w:r>
    </w:p>
    <w:p w14:paraId="426F0E34" w14:textId="06A64B5C" w:rsidR="006B20A5" w:rsidRDefault="006B20A5" w:rsidP="006B20A5">
      <w:pPr>
        <w:pStyle w:val="ListParagraph"/>
        <w:numPr>
          <w:ilvl w:val="1"/>
          <w:numId w:val="11"/>
        </w:numPr>
      </w:pPr>
      <w:r w:rsidRPr="006B20A5">
        <w:rPr>
          <w:i/>
          <w:iCs/>
        </w:rPr>
        <w:t>Bonding Leave</w:t>
      </w:r>
      <w:r>
        <w:t xml:space="preserve"> – time off </w:t>
      </w:r>
      <w:r w:rsidRPr="006B20A5">
        <w:t>for a biological, adoptive, or foster parent to spend time with a child in connection with the birth, adoption, or placement of that child</w:t>
      </w:r>
      <w:r w:rsidR="00487973">
        <w:t>.</w:t>
      </w:r>
    </w:p>
    <w:p w14:paraId="48B99933" w14:textId="7D82EC14" w:rsidR="006B20A5" w:rsidRPr="006B20A5" w:rsidRDefault="006B20A5" w:rsidP="006B20A5">
      <w:pPr>
        <w:pStyle w:val="ListParagraph"/>
        <w:numPr>
          <w:ilvl w:val="1"/>
          <w:numId w:val="11"/>
        </w:numPr>
      </w:pPr>
      <w:r w:rsidRPr="006B20A5">
        <w:rPr>
          <w:i/>
          <w:iCs/>
        </w:rPr>
        <w:t>Family care leave</w:t>
      </w:r>
      <w:r w:rsidRPr="006B20A5">
        <w:t xml:space="preserve"> </w:t>
      </w:r>
      <w:r w:rsidR="0094020F">
        <w:t xml:space="preserve">– </w:t>
      </w:r>
      <w:r w:rsidRPr="006B20A5">
        <w:t>time off to care for a family member with a serious health condition or to care for a family member who is a military member.</w:t>
      </w:r>
    </w:p>
    <w:p w14:paraId="5C895745" w14:textId="199307F7" w:rsidR="006B20A5" w:rsidRDefault="006B20A5" w:rsidP="006B20A5">
      <w:pPr>
        <w:pStyle w:val="ListParagraph"/>
        <w:numPr>
          <w:ilvl w:val="1"/>
          <w:numId w:val="11"/>
        </w:numPr>
      </w:pPr>
      <w:r w:rsidRPr="006B20A5">
        <w:rPr>
          <w:i/>
          <w:iCs/>
        </w:rPr>
        <w:t>Safety leave</w:t>
      </w:r>
      <w:r w:rsidRPr="006B20A5">
        <w:t> </w:t>
      </w:r>
      <w:r w:rsidR="0094020F">
        <w:t xml:space="preserve">– </w:t>
      </w:r>
      <w:r w:rsidRPr="006B20A5">
        <w:t>time off because of domestic abuse, sexual assault, or stalking of the employee or a family member to seek medical attention, victim services, counseling, relocation, or legal advice</w:t>
      </w:r>
      <w:r w:rsidR="00487973">
        <w:t>.</w:t>
      </w:r>
    </w:p>
    <w:p w14:paraId="527B9D45" w14:textId="38A546ED" w:rsidR="006B20A5" w:rsidRDefault="006B20A5" w:rsidP="006B20A5">
      <w:pPr>
        <w:pStyle w:val="ListParagraph"/>
        <w:numPr>
          <w:ilvl w:val="1"/>
          <w:numId w:val="11"/>
        </w:numPr>
      </w:pPr>
      <w:r w:rsidRPr="006B20A5">
        <w:rPr>
          <w:i/>
          <w:iCs/>
        </w:rPr>
        <w:t xml:space="preserve">Qualifying </w:t>
      </w:r>
      <w:proofErr w:type="gramStart"/>
      <w:r w:rsidRPr="006B20A5">
        <w:rPr>
          <w:i/>
          <w:iCs/>
        </w:rPr>
        <w:t>exigency</w:t>
      </w:r>
      <w:proofErr w:type="gramEnd"/>
      <w:r w:rsidRPr="006B20A5">
        <w:rPr>
          <w:i/>
          <w:iCs/>
        </w:rPr>
        <w:t xml:space="preserve"> leave</w:t>
      </w:r>
      <w:r w:rsidRPr="006B20A5">
        <w:t> </w:t>
      </w:r>
      <w:r w:rsidR="0094020F">
        <w:t>–</w:t>
      </w:r>
      <w:r w:rsidRPr="006B20A5">
        <w:t xml:space="preserve"> time off due to a military member’s active-duty service or notice of active duty</w:t>
      </w:r>
      <w:r w:rsidR="00487973">
        <w:t>.</w:t>
      </w:r>
    </w:p>
    <w:p w14:paraId="2D5CCD6E" w14:textId="6355B899" w:rsidR="00A53E43" w:rsidRPr="00A53E43" w:rsidRDefault="006B20A5" w:rsidP="00A53E43">
      <w:r>
        <w:rPr>
          <w:b/>
          <w:bCs/>
        </w:rPr>
        <w:t xml:space="preserve">Amount of </w:t>
      </w:r>
      <w:r w:rsidR="0094020F">
        <w:rPr>
          <w:b/>
          <w:bCs/>
        </w:rPr>
        <w:t>p</w:t>
      </w:r>
      <w:r>
        <w:rPr>
          <w:b/>
          <w:bCs/>
        </w:rPr>
        <w:t xml:space="preserve">aid </w:t>
      </w:r>
      <w:r w:rsidR="0094020F">
        <w:rPr>
          <w:b/>
          <w:bCs/>
        </w:rPr>
        <w:t>t</w:t>
      </w:r>
      <w:r>
        <w:rPr>
          <w:b/>
          <w:bCs/>
        </w:rPr>
        <w:t>ime</w:t>
      </w:r>
      <w:r w:rsidRPr="005D3120">
        <w:t>:</w:t>
      </w:r>
    </w:p>
    <w:p w14:paraId="5C41BB2B" w14:textId="00C1E315" w:rsidR="00A53E43" w:rsidRDefault="006B20A5" w:rsidP="00487973">
      <w:pPr>
        <w:numPr>
          <w:ilvl w:val="0"/>
          <w:numId w:val="3"/>
        </w:numPr>
        <w:spacing w:after="0"/>
      </w:pPr>
      <w:r>
        <w:t>Up to 12 weeks of paid leave for own serious health condition</w:t>
      </w:r>
    </w:p>
    <w:p w14:paraId="293142D8" w14:textId="520B1972" w:rsidR="006B20A5" w:rsidRDefault="006B20A5" w:rsidP="00487973">
      <w:pPr>
        <w:numPr>
          <w:ilvl w:val="0"/>
          <w:numId w:val="3"/>
        </w:numPr>
        <w:spacing w:after="0"/>
      </w:pPr>
      <w:r>
        <w:t>Up to 12 weeks of paid leave for bonding, family care, safety, or qualifying exigency</w:t>
      </w:r>
    </w:p>
    <w:p w14:paraId="0EDBFF9C" w14:textId="29D2C236" w:rsidR="006B20A5" w:rsidRDefault="006B20A5" w:rsidP="00487973">
      <w:pPr>
        <w:numPr>
          <w:ilvl w:val="0"/>
          <w:numId w:val="3"/>
        </w:numPr>
        <w:spacing w:after="0"/>
      </w:pPr>
      <w:r>
        <w:t>Limited to an aggregate of 20 weeks paid leave in a benefit year</w:t>
      </w:r>
      <w:r w:rsidR="00487973">
        <w:t>:</w:t>
      </w:r>
    </w:p>
    <w:p w14:paraId="17AB68C5" w14:textId="7129A32D" w:rsidR="006B20A5" w:rsidRDefault="006B20A5" w:rsidP="006B20A5">
      <w:pPr>
        <w:numPr>
          <w:ilvl w:val="1"/>
          <w:numId w:val="3"/>
        </w:numPr>
      </w:pPr>
      <w:r>
        <w:lastRenderedPageBreak/>
        <w:t>i.e.</w:t>
      </w:r>
      <w:r w:rsidR="0094020F">
        <w:t>,</w:t>
      </w:r>
      <w:r>
        <w:t xml:space="preserve"> </w:t>
      </w:r>
      <w:r w:rsidR="0094020F">
        <w:t>i</w:t>
      </w:r>
      <w:r>
        <w:t>f an employee t</w:t>
      </w:r>
      <w:r w:rsidR="0094020F">
        <w:t>akes</w:t>
      </w:r>
      <w:r>
        <w:t xml:space="preserve"> 12 weeks of serious health care leave, </w:t>
      </w:r>
      <w:r w:rsidR="0094020F">
        <w:t xml:space="preserve">they </w:t>
      </w:r>
      <w:r>
        <w:t xml:space="preserve">can only use 8 more weeks for other </w:t>
      </w:r>
      <w:r w:rsidR="0094020F">
        <w:t xml:space="preserve">types of </w:t>
      </w:r>
      <w:r>
        <w:t xml:space="preserve">leave </w:t>
      </w:r>
    </w:p>
    <w:p w14:paraId="178FDE67" w14:textId="0F4884EA" w:rsidR="006B20A5" w:rsidRPr="00A53E43" w:rsidRDefault="006B20A5" w:rsidP="006B20A5">
      <w:r w:rsidRPr="006B20A5">
        <w:t>Except for bonding leave, a claim for benefits must be based on a single qualifying event of at least seven calendar days. The days must be consecutive unless the leave is intermittent.</w:t>
      </w:r>
      <w:r>
        <w:t xml:space="preserve"> A</w:t>
      </w:r>
      <w:r w:rsidRPr="006B20A5">
        <w:t>n employer may limit intermittent use of leave to 480 hours in any 12-month period</w:t>
      </w:r>
      <w:r>
        <w:t>.</w:t>
      </w:r>
    </w:p>
    <w:p w14:paraId="4B0FE57A" w14:textId="6C1FAD04" w:rsidR="00A53E43" w:rsidRPr="00A53E43" w:rsidRDefault="006B20A5" w:rsidP="00A53E43">
      <w:r>
        <w:rPr>
          <w:b/>
          <w:bCs/>
        </w:rPr>
        <w:t xml:space="preserve">Amount of </w:t>
      </w:r>
      <w:r w:rsidR="0094020F">
        <w:rPr>
          <w:b/>
          <w:bCs/>
        </w:rPr>
        <w:t>p</w:t>
      </w:r>
      <w:r>
        <w:rPr>
          <w:b/>
          <w:bCs/>
        </w:rPr>
        <w:t>ay</w:t>
      </w:r>
      <w:r w:rsidR="001913A6">
        <w:rPr>
          <w:b/>
          <w:bCs/>
        </w:rPr>
        <w:t xml:space="preserve"> an employee receives</w:t>
      </w:r>
      <w:r>
        <w:rPr>
          <w:b/>
          <w:bCs/>
        </w:rPr>
        <w:t>:</w:t>
      </w:r>
    </w:p>
    <w:p w14:paraId="18D640F9" w14:textId="4E5EA909" w:rsidR="006B20A5" w:rsidRPr="005D3120" w:rsidRDefault="006B20A5" w:rsidP="006B20A5">
      <w:pPr>
        <w:pStyle w:val="ListParagraph"/>
        <w:numPr>
          <w:ilvl w:val="0"/>
          <w:numId w:val="12"/>
        </w:numPr>
      </w:pPr>
      <w:r>
        <w:t>A</w:t>
      </w:r>
      <w:r w:rsidRPr="006B20A5">
        <w:t xml:space="preserve"> maximum weekly benefit amount computed by statute</w:t>
      </w:r>
      <w:r>
        <w:t xml:space="preserve"> is applied and calculated by applying the</w:t>
      </w:r>
      <w:r w:rsidRPr="006B20A5">
        <w:t xml:space="preserve"> following percentage to the </w:t>
      </w:r>
      <w:r w:rsidRPr="00697354">
        <w:t>employee’s typical workweek</w:t>
      </w:r>
      <w:r w:rsidRPr="006B20A5">
        <w:t xml:space="preserve"> and weekly wage during the </w:t>
      </w:r>
      <w:r w:rsidRPr="005D3120">
        <w:t>high</w:t>
      </w:r>
      <w:r w:rsidR="0094020F" w:rsidRPr="005D3120">
        <w:t>est-paid-</w:t>
      </w:r>
      <w:r w:rsidRPr="005D3120">
        <w:t>quarter of their </w:t>
      </w:r>
      <w:r w:rsidRPr="005D3120">
        <w:rPr>
          <w:i/>
          <w:iCs/>
        </w:rPr>
        <w:t>base period</w:t>
      </w:r>
      <w:r w:rsidRPr="005D3120">
        <w:t>:</w:t>
      </w:r>
    </w:p>
    <w:p w14:paraId="59057B57" w14:textId="5E8950F0" w:rsidR="006B20A5" w:rsidRDefault="006B20A5" w:rsidP="006B20A5">
      <w:pPr>
        <w:pStyle w:val="ListParagraph"/>
        <w:numPr>
          <w:ilvl w:val="1"/>
          <w:numId w:val="12"/>
        </w:numPr>
      </w:pPr>
      <w:r>
        <w:t xml:space="preserve">90% of wages that do not exceed 50% of the state’s average weekly wage; </w:t>
      </w:r>
      <w:proofErr w:type="gramStart"/>
      <w:r w:rsidRPr="005D3120">
        <w:rPr>
          <w:i/>
          <w:iCs/>
        </w:rPr>
        <w:t>plus</w:t>
      </w:r>
      <w:proofErr w:type="gramEnd"/>
    </w:p>
    <w:p w14:paraId="425993A5" w14:textId="3E5760A6" w:rsidR="006B20A5" w:rsidRDefault="006B20A5" w:rsidP="006B20A5">
      <w:pPr>
        <w:pStyle w:val="ListParagraph"/>
        <w:numPr>
          <w:ilvl w:val="1"/>
          <w:numId w:val="12"/>
        </w:numPr>
      </w:pPr>
      <w:r>
        <w:t xml:space="preserve">66% of wages that exceed 50% but are less than 100% of the state’s average weekly wage; </w:t>
      </w:r>
      <w:proofErr w:type="gramStart"/>
      <w:r w:rsidRPr="005D3120">
        <w:rPr>
          <w:i/>
          <w:iCs/>
        </w:rPr>
        <w:t>plus</w:t>
      </w:r>
      <w:proofErr w:type="gramEnd"/>
    </w:p>
    <w:p w14:paraId="0181EF05" w14:textId="77777777" w:rsidR="006B20A5" w:rsidRDefault="006B20A5" w:rsidP="006B20A5">
      <w:pPr>
        <w:pStyle w:val="ListParagraph"/>
        <w:numPr>
          <w:ilvl w:val="1"/>
          <w:numId w:val="12"/>
        </w:numPr>
      </w:pPr>
      <w:r>
        <w:t>55% of wages that exceed 100% of the state’s average weekly wage.</w:t>
      </w:r>
    </w:p>
    <w:p w14:paraId="079E576E" w14:textId="502E6142" w:rsidR="006B20A5" w:rsidRDefault="001913A6" w:rsidP="006B20A5">
      <w:pPr>
        <w:pStyle w:val="ListParagraph"/>
        <w:numPr>
          <w:ilvl w:val="0"/>
          <w:numId w:val="12"/>
        </w:numPr>
      </w:pPr>
      <w:r>
        <w:t xml:space="preserve">Employees may choose to use any accrued benefit, such as PTO, vacation, and sick time to supplement PFML, but it is not required. </w:t>
      </w:r>
    </w:p>
    <w:p w14:paraId="1E5603BC" w14:textId="4BCE5F33" w:rsidR="001913A6" w:rsidRPr="001913A6" w:rsidRDefault="001913A6" w:rsidP="001913A6">
      <w:pPr>
        <w:rPr>
          <w:b/>
          <w:bCs/>
        </w:rPr>
      </w:pPr>
      <w:r w:rsidRPr="001913A6">
        <w:rPr>
          <w:b/>
          <w:bCs/>
        </w:rPr>
        <w:t>Can you offer a private plan</w:t>
      </w:r>
      <w:r>
        <w:rPr>
          <w:b/>
          <w:bCs/>
        </w:rPr>
        <w:t xml:space="preserve"> instead</w:t>
      </w:r>
      <w:r w:rsidRPr="001913A6">
        <w:rPr>
          <w:b/>
          <w:bCs/>
        </w:rPr>
        <w:t>?</w:t>
      </w:r>
    </w:p>
    <w:p w14:paraId="07982BF0" w14:textId="2087A6DF" w:rsidR="00A2274D" w:rsidRDefault="001913A6" w:rsidP="001913A6">
      <w:r>
        <w:t>Yes</w:t>
      </w:r>
      <w:r w:rsidR="008A0946">
        <w:t xml:space="preserve">, </w:t>
      </w:r>
      <w:r>
        <w:t xml:space="preserve">so long as the plan provides benefits and protections that are the same or greater than those under the public plan and approved by the Division. </w:t>
      </w:r>
    </w:p>
    <w:p w14:paraId="288232E2" w14:textId="488DEBB4" w:rsidR="001913A6" w:rsidRDefault="00697354" w:rsidP="001913A6">
      <w:r>
        <w:t>Private plans:</w:t>
      </w:r>
    </w:p>
    <w:p w14:paraId="77BBFAD4" w14:textId="241FBA1B" w:rsidR="001913A6" w:rsidRDefault="001913A6" w:rsidP="001913A6">
      <w:pPr>
        <w:pStyle w:val="ListParagraph"/>
        <w:numPr>
          <w:ilvl w:val="0"/>
          <w:numId w:val="14"/>
        </w:numPr>
      </w:pPr>
      <w:r>
        <w:t xml:space="preserve">Can be </w:t>
      </w:r>
      <w:r w:rsidR="00487973">
        <w:t>self-insured or</w:t>
      </w:r>
      <w:r>
        <w:t xml:space="preserve"> insured through a carrier. </w:t>
      </w:r>
    </w:p>
    <w:p w14:paraId="70B18639" w14:textId="60AB2351" w:rsidR="001913A6" w:rsidRDefault="00487973" w:rsidP="001913A6">
      <w:pPr>
        <w:pStyle w:val="ListParagraph"/>
        <w:numPr>
          <w:ilvl w:val="0"/>
          <w:numId w:val="14"/>
        </w:numPr>
      </w:pPr>
      <w:r>
        <w:t xml:space="preserve">Once approved, </w:t>
      </w:r>
      <w:r w:rsidR="00697354">
        <w:t xml:space="preserve">employers and employees are </w:t>
      </w:r>
      <w:r>
        <w:t>not required to pay the tax premiums required by the statue</w:t>
      </w:r>
      <w:r w:rsidR="00A2274D">
        <w:t>;</w:t>
      </w:r>
      <w:r>
        <w:t xml:space="preserve"> however</w:t>
      </w:r>
      <w:r w:rsidR="00A2274D">
        <w:t>,</w:t>
      </w:r>
      <w:r w:rsidR="00697354">
        <w:t xml:space="preserve"> they</w:t>
      </w:r>
      <w:r>
        <w:t xml:space="preserve"> m</w:t>
      </w:r>
      <w:r w:rsidR="001913A6">
        <w:t xml:space="preserve">ust pay a private plan approval and oversight fee. </w:t>
      </w:r>
    </w:p>
    <w:p w14:paraId="48655D4E" w14:textId="01929D84" w:rsidR="001913A6" w:rsidRDefault="001913A6" w:rsidP="001913A6">
      <w:pPr>
        <w:pStyle w:val="ListParagraph"/>
        <w:numPr>
          <w:ilvl w:val="0"/>
          <w:numId w:val="14"/>
        </w:numPr>
      </w:pPr>
      <w:r>
        <w:t xml:space="preserve">Must post notice of the private plan for employees. </w:t>
      </w:r>
    </w:p>
    <w:p w14:paraId="648D7841" w14:textId="2076CC18" w:rsidR="001913A6" w:rsidRPr="001913A6" w:rsidRDefault="001913A6" w:rsidP="001913A6">
      <w:pPr>
        <w:rPr>
          <w:b/>
          <w:bCs/>
        </w:rPr>
      </w:pPr>
      <w:r w:rsidRPr="001913A6">
        <w:rPr>
          <w:b/>
          <w:bCs/>
        </w:rPr>
        <w:t xml:space="preserve">Employer </w:t>
      </w:r>
      <w:r w:rsidR="00697354">
        <w:rPr>
          <w:b/>
          <w:bCs/>
        </w:rPr>
        <w:t>p</w:t>
      </w:r>
      <w:r w:rsidRPr="001913A6">
        <w:rPr>
          <w:b/>
          <w:bCs/>
        </w:rPr>
        <w:t>remiums:</w:t>
      </w:r>
    </w:p>
    <w:p w14:paraId="5BC00531" w14:textId="08807D41" w:rsidR="001913A6" w:rsidRDefault="001913A6" w:rsidP="001913A6">
      <w:pPr>
        <w:pStyle w:val="ListParagraph"/>
        <w:numPr>
          <w:ilvl w:val="0"/>
          <w:numId w:val="13"/>
        </w:numPr>
      </w:pPr>
      <w:r>
        <w:t xml:space="preserve">Employers pay quarterly tax premiums to the family and medical benefit insurance account on the taxable wages paid to each employee. Beginning </w:t>
      </w:r>
      <w:r w:rsidR="00697354">
        <w:t>January 1, 2026</w:t>
      </w:r>
      <w:r>
        <w:t xml:space="preserve">: </w:t>
      </w:r>
    </w:p>
    <w:p w14:paraId="3662216E" w14:textId="4451D37F" w:rsidR="001913A6" w:rsidRDefault="001913A6" w:rsidP="001913A6">
      <w:pPr>
        <w:pStyle w:val="ListParagraph"/>
        <w:numPr>
          <w:ilvl w:val="1"/>
          <w:numId w:val="13"/>
        </w:numPr>
      </w:pPr>
      <w:r>
        <w:t xml:space="preserve">0.7% for an employer participating in both family and medical benefit </w:t>
      </w:r>
      <w:proofErr w:type="gramStart"/>
      <w:r>
        <w:t>programs</w:t>
      </w:r>
      <w:proofErr w:type="gramEnd"/>
    </w:p>
    <w:p w14:paraId="6DA958DE" w14:textId="122B8169" w:rsidR="001913A6" w:rsidRDefault="001913A6" w:rsidP="001913A6">
      <w:pPr>
        <w:pStyle w:val="ListParagraph"/>
        <w:numPr>
          <w:ilvl w:val="1"/>
          <w:numId w:val="13"/>
        </w:numPr>
      </w:pPr>
      <w:r>
        <w:t xml:space="preserve">0.4% for an employer participating in only medical benefit programs with an approved private plan for the family benefit </w:t>
      </w:r>
      <w:proofErr w:type="gramStart"/>
      <w:r>
        <w:t>program</w:t>
      </w:r>
      <w:proofErr w:type="gramEnd"/>
    </w:p>
    <w:p w14:paraId="14C329AC" w14:textId="2A105D8E" w:rsidR="001913A6" w:rsidRDefault="001913A6" w:rsidP="001913A6">
      <w:pPr>
        <w:pStyle w:val="ListParagraph"/>
        <w:numPr>
          <w:ilvl w:val="1"/>
          <w:numId w:val="13"/>
        </w:numPr>
      </w:pPr>
      <w:r>
        <w:t xml:space="preserve">0.3% for an employer participating in only the family benefit program with an approved private plan for the medical benefit </w:t>
      </w:r>
      <w:proofErr w:type="gramStart"/>
      <w:r>
        <w:t>program</w:t>
      </w:r>
      <w:proofErr w:type="gramEnd"/>
    </w:p>
    <w:p w14:paraId="0F843EA6" w14:textId="04FC9402" w:rsidR="001913A6" w:rsidRDefault="001913A6" w:rsidP="001913A6">
      <w:pPr>
        <w:pStyle w:val="ListParagraph"/>
        <w:numPr>
          <w:ilvl w:val="0"/>
          <w:numId w:val="13"/>
        </w:numPr>
      </w:pPr>
      <w:r w:rsidRPr="001913A6">
        <w:t>Employers must pay at least half of the annual premiums. Employees must pay the remaining premium not paid by the employer</w:t>
      </w:r>
      <w:r w:rsidR="00697354">
        <w:t xml:space="preserve"> </w:t>
      </w:r>
      <w:r w:rsidR="00697354" w:rsidRPr="001913A6">
        <w:t>through a wage deduction</w:t>
      </w:r>
      <w:r w:rsidRPr="001913A6">
        <w:t>. </w:t>
      </w:r>
    </w:p>
    <w:p w14:paraId="6F121DCF" w14:textId="5F423012" w:rsidR="001913A6" w:rsidRDefault="001913A6" w:rsidP="001913A6">
      <w:pPr>
        <w:pStyle w:val="ListParagraph"/>
        <w:numPr>
          <w:ilvl w:val="1"/>
          <w:numId w:val="13"/>
        </w:numPr>
      </w:pPr>
      <w:r>
        <w:t xml:space="preserve">Small </w:t>
      </w:r>
      <w:r w:rsidR="00697354">
        <w:t>b</w:t>
      </w:r>
      <w:r>
        <w:t xml:space="preserve">usiness </w:t>
      </w:r>
      <w:r w:rsidR="00697354">
        <w:t>e</w:t>
      </w:r>
      <w:r>
        <w:t xml:space="preserve">xclusion – employers with fewer than 30 employees will pay a reduced </w:t>
      </w:r>
      <w:r w:rsidRPr="005D3120">
        <w:t>amount, w</w:t>
      </w:r>
      <w:r w:rsidR="005D3120" w:rsidRPr="005D3120">
        <w:t>ith</w:t>
      </w:r>
      <w:r w:rsidRPr="005D3120">
        <w:t xml:space="preserve"> the fund </w:t>
      </w:r>
      <w:r w:rsidR="005D3120" w:rsidRPr="005D3120">
        <w:t>absorbing</w:t>
      </w:r>
      <w:r w:rsidR="005D3120">
        <w:t xml:space="preserve"> the shortfall</w:t>
      </w:r>
      <w:r>
        <w:t>. Employees at small</w:t>
      </w:r>
      <w:r w:rsidR="00697354">
        <w:t>er</w:t>
      </w:r>
      <w:r>
        <w:t xml:space="preserve"> employers will pay the same as those at larger employers. </w:t>
      </w:r>
    </w:p>
    <w:p w14:paraId="7B8B21CB" w14:textId="20BC1DA1" w:rsidR="00A53E43" w:rsidRPr="00A53E43" w:rsidRDefault="001913A6" w:rsidP="00A53E43">
      <w:r>
        <w:rPr>
          <w:b/>
          <w:bCs/>
        </w:rPr>
        <w:t xml:space="preserve">How the employee obtains benefits: </w:t>
      </w:r>
    </w:p>
    <w:p w14:paraId="239C6D5F" w14:textId="49E6BD86" w:rsidR="00A53E43" w:rsidRDefault="001913A6" w:rsidP="00487973">
      <w:pPr>
        <w:numPr>
          <w:ilvl w:val="0"/>
          <w:numId w:val="5"/>
        </w:numPr>
        <w:spacing w:after="0"/>
      </w:pPr>
      <w:r>
        <w:t xml:space="preserve">Employee must file an application and establish a benefits account with the new Division. </w:t>
      </w:r>
    </w:p>
    <w:p w14:paraId="6CA218E4" w14:textId="7C2A15B0" w:rsidR="001913A6" w:rsidRDefault="001913A6" w:rsidP="00487973">
      <w:pPr>
        <w:numPr>
          <w:ilvl w:val="0"/>
          <w:numId w:val="5"/>
        </w:numPr>
        <w:spacing w:after="0"/>
      </w:pPr>
      <w:r>
        <w:lastRenderedPageBreak/>
        <w:t>Application may be filed up to 60 days before the leave is taken.</w:t>
      </w:r>
    </w:p>
    <w:p w14:paraId="085036E5" w14:textId="758EF0EA" w:rsidR="001913A6" w:rsidRDefault="001913A6" w:rsidP="00487973">
      <w:pPr>
        <w:numPr>
          <w:ilvl w:val="0"/>
          <w:numId w:val="5"/>
        </w:numPr>
        <w:spacing w:after="0"/>
      </w:pPr>
      <w:r>
        <w:t>Must include certification supporting the request.</w:t>
      </w:r>
    </w:p>
    <w:p w14:paraId="07E467BD" w14:textId="093AFABC" w:rsidR="001913A6" w:rsidRDefault="001913A6" w:rsidP="00487973">
      <w:pPr>
        <w:numPr>
          <w:ilvl w:val="0"/>
          <w:numId w:val="5"/>
        </w:numPr>
        <w:spacing w:after="0"/>
      </w:pPr>
      <w:r>
        <w:t>Likely</w:t>
      </w:r>
      <w:r w:rsidR="00487973">
        <w:t>,</w:t>
      </w:r>
      <w:r>
        <w:t xml:space="preserve"> the Division will determine whether employees are </w:t>
      </w:r>
      <w:proofErr w:type="gramStart"/>
      <w:r>
        <w:t>eligible</w:t>
      </w:r>
      <w:proofErr w:type="gramEnd"/>
      <w:r>
        <w:t xml:space="preserve"> and Benefits </w:t>
      </w:r>
      <w:r w:rsidR="0048215E">
        <w:t xml:space="preserve">will be </w:t>
      </w:r>
      <w:r>
        <w:t xml:space="preserve">paid from state funds, not directly by the employer. Employer may have </w:t>
      </w:r>
      <w:r w:rsidR="00487973">
        <w:t xml:space="preserve">the </w:t>
      </w:r>
      <w:r>
        <w:t>ability to appeal.</w:t>
      </w:r>
    </w:p>
    <w:p w14:paraId="29BE6766" w14:textId="36B1A9C2" w:rsidR="001913A6" w:rsidRDefault="001913A6" w:rsidP="00487973">
      <w:pPr>
        <w:numPr>
          <w:ilvl w:val="0"/>
          <w:numId w:val="5"/>
        </w:numPr>
        <w:spacing w:after="0"/>
      </w:pPr>
      <w:r>
        <w:t>Employee must provide at least 30 days advance notice to employer, or as soon as practicable.</w:t>
      </w:r>
    </w:p>
    <w:p w14:paraId="6B71ABB9" w14:textId="77777777" w:rsidR="00487973" w:rsidRDefault="00487973" w:rsidP="00487973">
      <w:pPr>
        <w:spacing w:after="0"/>
      </w:pPr>
    </w:p>
    <w:p w14:paraId="4A7F1EBC" w14:textId="58CA3870" w:rsidR="00EB7D26" w:rsidRPr="00487973" w:rsidRDefault="00EB7D26" w:rsidP="00EB7D26">
      <w:pPr>
        <w:rPr>
          <w:b/>
          <w:bCs/>
        </w:rPr>
      </w:pPr>
      <w:r w:rsidRPr="00487973">
        <w:rPr>
          <w:b/>
          <w:bCs/>
        </w:rPr>
        <w:t xml:space="preserve">Additional Information and </w:t>
      </w:r>
      <w:r w:rsidR="000D5EC4">
        <w:rPr>
          <w:b/>
          <w:bCs/>
        </w:rPr>
        <w:t>p</w:t>
      </w:r>
      <w:r w:rsidRPr="00487973">
        <w:rPr>
          <w:b/>
          <w:bCs/>
        </w:rPr>
        <w:t>rotections:</w:t>
      </w:r>
    </w:p>
    <w:p w14:paraId="358369A4" w14:textId="1A099361" w:rsidR="00EB7D26" w:rsidRDefault="00EB7D26" w:rsidP="00EB7D26">
      <w:pPr>
        <w:pStyle w:val="ListParagraph"/>
        <w:numPr>
          <w:ilvl w:val="0"/>
          <w:numId w:val="15"/>
        </w:numPr>
      </w:pPr>
      <w:r>
        <w:t xml:space="preserve">Employers may not retaliate (discharge, penalize, interfere with, etc.) or discriminate against any employee seeking, requesting, or obtaining PFML benefits. </w:t>
      </w:r>
    </w:p>
    <w:p w14:paraId="555185CE" w14:textId="1D635A9E" w:rsidR="00EB7D26" w:rsidRDefault="00EB7D26" w:rsidP="00EB7D26">
      <w:pPr>
        <w:pStyle w:val="ListParagraph"/>
        <w:numPr>
          <w:ilvl w:val="0"/>
          <w:numId w:val="15"/>
        </w:numPr>
      </w:pPr>
      <w:r>
        <w:t xml:space="preserve">Employer must continue coverage under any group insurance policy for employee and dependents, </w:t>
      </w:r>
      <w:r w:rsidR="000D5EC4">
        <w:t xml:space="preserve">and </w:t>
      </w:r>
      <w:r>
        <w:t>employee must continue to pay the employee</w:t>
      </w:r>
      <w:r w:rsidR="000D5EC4">
        <w:t>’s</w:t>
      </w:r>
      <w:r>
        <w:t xml:space="preserve"> share of benefit. </w:t>
      </w:r>
    </w:p>
    <w:p w14:paraId="7B860AF2" w14:textId="0CBD50F1" w:rsidR="00EB7D26" w:rsidRDefault="00EB7D26" w:rsidP="00EB7D26">
      <w:pPr>
        <w:pStyle w:val="ListParagraph"/>
        <w:numPr>
          <w:ilvl w:val="0"/>
          <w:numId w:val="15"/>
        </w:numPr>
      </w:pPr>
      <w:r>
        <w:t>Upon return, an employee must be reinstated to the same or equivalent position.</w:t>
      </w:r>
    </w:p>
    <w:p w14:paraId="55D6DD0E" w14:textId="4B177E28" w:rsidR="00EB7D26" w:rsidRPr="00A53E43" w:rsidRDefault="00EB7D26" w:rsidP="00EB7D26">
      <w:pPr>
        <w:pStyle w:val="ListParagraph"/>
        <w:numPr>
          <w:ilvl w:val="0"/>
          <w:numId w:val="15"/>
        </w:numPr>
      </w:pPr>
      <w:r>
        <w:t>E</w:t>
      </w:r>
      <w:r w:rsidRPr="00EB7D26">
        <w:t>mployers must include information about amounts deducted and paid to employees for PFML on employees’ earnings statements. </w:t>
      </w:r>
    </w:p>
    <w:p w14:paraId="727BCA0C" w14:textId="1690C80C" w:rsidR="00A53E43" w:rsidRPr="00EB7D26" w:rsidRDefault="00A53E43" w:rsidP="00EB7D26">
      <w:pPr>
        <w:rPr>
          <w:b/>
          <w:bCs/>
        </w:rPr>
      </w:pPr>
      <w:r w:rsidRPr="00600F4A">
        <w:rPr>
          <w:b/>
          <w:bCs/>
        </w:rPr>
        <w:t xml:space="preserve">Actions to </w:t>
      </w:r>
      <w:r w:rsidR="00544D1F">
        <w:rPr>
          <w:b/>
          <w:bCs/>
        </w:rPr>
        <w:t>t</w:t>
      </w:r>
      <w:r w:rsidRPr="00600F4A">
        <w:rPr>
          <w:b/>
          <w:bCs/>
        </w:rPr>
        <w:t>ake:</w:t>
      </w:r>
    </w:p>
    <w:p w14:paraId="12032E7D" w14:textId="60E40D08" w:rsidR="00A53E43" w:rsidRDefault="00EB7D26" w:rsidP="00A53E43">
      <w:pPr>
        <w:numPr>
          <w:ilvl w:val="0"/>
          <w:numId w:val="9"/>
        </w:numPr>
      </w:pPr>
      <w:r>
        <w:t>Talk</w:t>
      </w:r>
      <w:r w:rsidR="00A53E43" w:rsidRPr="00A53E43">
        <w:t xml:space="preserve"> with your </w:t>
      </w:r>
      <w:r w:rsidR="00A53E43">
        <w:t xml:space="preserve">PEO, </w:t>
      </w:r>
      <w:r w:rsidR="00A53E43" w:rsidRPr="00A53E43">
        <w:t xml:space="preserve">HR </w:t>
      </w:r>
      <w:r w:rsidR="00544D1F">
        <w:t>p</w:t>
      </w:r>
      <w:r w:rsidR="00A53E43" w:rsidRPr="00A53E43">
        <w:t>rofessional</w:t>
      </w:r>
      <w:r w:rsidR="00A53E43">
        <w:t xml:space="preserve">, </w:t>
      </w:r>
      <w:r>
        <w:t xml:space="preserve">accounting </w:t>
      </w:r>
      <w:r w:rsidR="000D5EC4">
        <w:t>department</w:t>
      </w:r>
      <w:r>
        <w:t>, and/</w:t>
      </w:r>
      <w:r w:rsidR="00A53E43">
        <w:t>or outside counsel</w:t>
      </w:r>
      <w:r w:rsidR="00A53E43" w:rsidRPr="00A53E43">
        <w:t xml:space="preserve"> to</w:t>
      </w:r>
      <w:r>
        <w:t xml:space="preserve">: </w:t>
      </w:r>
    </w:p>
    <w:p w14:paraId="20C42CE0" w14:textId="24BCB7CC" w:rsidR="00EB7D26" w:rsidRDefault="00EB7D26" w:rsidP="00487973">
      <w:pPr>
        <w:numPr>
          <w:ilvl w:val="1"/>
          <w:numId w:val="9"/>
        </w:numPr>
        <w:spacing w:after="0"/>
      </w:pPr>
      <w:r>
        <w:t>Determine whether to apply for a private plan approval.</w:t>
      </w:r>
    </w:p>
    <w:p w14:paraId="7733AB2C" w14:textId="76E3D7BC" w:rsidR="00EB7D26" w:rsidRDefault="00EB7D26" w:rsidP="00487973">
      <w:pPr>
        <w:numPr>
          <w:ilvl w:val="1"/>
          <w:numId w:val="9"/>
        </w:numPr>
        <w:spacing w:after="0"/>
      </w:pPr>
      <w:r>
        <w:t>Address the upcoming additional payroll taxes.</w:t>
      </w:r>
    </w:p>
    <w:p w14:paraId="307B8BAF" w14:textId="444591FF" w:rsidR="00EB7D26" w:rsidRDefault="00EB7D26" w:rsidP="00487973">
      <w:pPr>
        <w:numPr>
          <w:ilvl w:val="1"/>
          <w:numId w:val="9"/>
        </w:numPr>
        <w:spacing w:after="0"/>
      </w:pPr>
      <w:r>
        <w:t xml:space="preserve">Put appropriate infrastructure in place to support </w:t>
      </w:r>
      <w:r w:rsidR="00487973">
        <w:t>P</w:t>
      </w:r>
      <w:r>
        <w:t>FML and amend employee earnings statements.</w:t>
      </w:r>
    </w:p>
    <w:p w14:paraId="52362CE3" w14:textId="4B9C3FBA" w:rsidR="00487973" w:rsidRDefault="00EB7D26" w:rsidP="00487973">
      <w:pPr>
        <w:numPr>
          <w:ilvl w:val="1"/>
          <w:numId w:val="9"/>
        </w:numPr>
      </w:pPr>
      <w:r>
        <w:t xml:space="preserve">Be prepared to review handbooks and policies and identify changes to be made, including how current leave policies will be </w:t>
      </w:r>
      <w:r w:rsidR="00487973">
        <w:t>affected</w:t>
      </w:r>
      <w:r>
        <w:t xml:space="preserve">. </w:t>
      </w:r>
    </w:p>
    <w:p w14:paraId="1F24C018" w14:textId="0806DD55" w:rsidR="00EB7D26" w:rsidRDefault="00EB7D26" w:rsidP="00EB7D26">
      <w:pPr>
        <w:numPr>
          <w:ilvl w:val="0"/>
          <w:numId w:val="9"/>
        </w:numPr>
      </w:pPr>
      <w:r>
        <w:t xml:space="preserve">Given that this law does not go into effect until January 1, 2026, </w:t>
      </w:r>
      <w:r w:rsidR="000D5EC4">
        <w:t>and it is expected that</w:t>
      </w:r>
      <w:r>
        <w:t xml:space="preserve"> other clarifying rules and information </w:t>
      </w:r>
      <w:r w:rsidR="000D5EC4">
        <w:t xml:space="preserve">will </w:t>
      </w:r>
      <w:r>
        <w:t>be published</w:t>
      </w:r>
      <w:r w:rsidR="000D5EC4">
        <w:t xml:space="preserve"> before then</w:t>
      </w:r>
      <w:r>
        <w:t xml:space="preserve">, </w:t>
      </w:r>
      <w:r w:rsidR="000D5EC4">
        <w:t xml:space="preserve">employers </w:t>
      </w:r>
      <w:r w:rsidR="0048215E">
        <w:t>have some time yet before they need to implement changes</w:t>
      </w:r>
      <w:r>
        <w:t xml:space="preserve">. </w:t>
      </w:r>
      <w:r w:rsidR="0048215E">
        <w:t>Forthcoming</w:t>
      </w:r>
      <w:r w:rsidRPr="00EB7D26">
        <w:t xml:space="preserve"> regulations and FAQs </w:t>
      </w:r>
      <w:r w:rsidR="0048215E">
        <w:t>should</w:t>
      </w:r>
      <w:r w:rsidR="0048215E" w:rsidRPr="00EB7D26">
        <w:t xml:space="preserve"> </w:t>
      </w:r>
      <w:r w:rsidRPr="00EB7D26">
        <w:t>provide insight into various areas of the statute that are not entirely clear</w:t>
      </w:r>
      <w:r w:rsidR="0048215E">
        <w:t xml:space="preserve"> at this time</w:t>
      </w:r>
      <w:r>
        <w:t>. For now, it is most important to start thinking about</w:t>
      </w:r>
      <w:r w:rsidR="0048215E">
        <w:t xml:space="preserve"> how</w:t>
      </w:r>
      <w:r>
        <w:t xml:space="preserve"> the new PFML </w:t>
      </w:r>
      <w:r w:rsidR="0048215E">
        <w:t xml:space="preserve">law </w:t>
      </w:r>
      <w:r>
        <w:t xml:space="preserve">may impact your business. </w:t>
      </w:r>
    </w:p>
    <w:p w14:paraId="7FD9113F" w14:textId="0A443BC0" w:rsidR="00600F4A" w:rsidRPr="00600F4A" w:rsidRDefault="00600F4A" w:rsidP="00600F4A">
      <w:pPr>
        <w:rPr>
          <w:b/>
          <w:bCs/>
        </w:rPr>
      </w:pPr>
      <w:r w:rsidRPr="00600F4A">
        <w:rPr>
          <w:b/>
          <w:bCs/>
        </w:rPr>
        <w:t>Resources</w:t>
      </w:r>
      <w:r>
        <w:rPr>
          <w:b/>
          <w:bCs/>
        </w:rPr>
        <w:t>:</w:t>
      </w:r>
    </w:p>
    <w:p w14:paraId="72ABB40B" w14:textId="36B8DE0B" w:rsidR="00A53E43" w:rsidRDefault="00000000" w:rsidP="00600F4A">
      <w:pPr>
        <w:shd w:val="clear" w:color="auto" w:fill="FFFFFF"/>
        <w:spacing w:before="240" w:after="240" w:line="240" w:lineRule="auto"/>
      </w:pPr>
      <w:hyperlink r:id="rId5" w:history="1">
        <w:r w:rsidR="00600F4A" w:rsidRPr="00777AB7">
          <w:rPr>
            <w:rStyle w:val="Hyperlink"/>
            <w:rFonts w:eastAsia="Times New Roman" w:cstheme="minorHAnsi"/>
          </w:rPr>
          <w:t xml:space="preserve">MN </w:t>
        </w:r>
        <w:r w:rsidR="00777AB7" w:rsidRPr="00777AB7">
          <w:rPr>
            <w:rStyle w:val="Hyperlink"/>
            <w:rFonts w:eastAsia="Times New Roman" w:cstheme="minorHAnsi"/>
          </w:rPr>
          <w:t>HF 2</w:t>
        </w:r>
      </w:hyperlink>
      <w:r w:rsidR="00600F4A" w:rsidRPr="00600F4A">
        <w:rPr>
          <w:rFonts w:eastAsia="Times New Roman" w:cstheme="minorHAnsi"/>
          <w:color w:val="333333"/>
        </w:rPr>
        <w:br/>
      </w:r>
      <w:hyperlink r:id="rId6" w:tgtFrame="_blank" w:history="1">
        <w:r w:rsidR="00600F4A" w:rsidRPr="00777AB7">
          <w:rPr>
            <w:rStyle w:val="Hyperlink"/>
            <w:rFonts w:eastAsia="Times New Roman" w:cstheme="minorHAnsi"/>
          </w:rPr>
          <w:t xml:space="preserve">Minnesota </w:t>
        </w:r>
        <w:r w:rsidR="00777AB7" w:rsidRPr="00777AB7">
          <w:rPr>
            <w:rStyle w:val="Hyperlink"/>
            <w:rFonts w:eastAsia="Times New Roman" w:cstheme="minorHAnsi"/>
          </w:rPr>
          <w:t>Enacts Paid Family and Medical Leave Statute</w:t>
        </w:r>
      </w:hyperlink>
    </w:p>
    <w:sectPr w:rsidR="00A53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911F0"/>
    <w:multiLevelType w:val="multilevel"/>
    <w:tmpl w:val="BD307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F441D"/>
    <w:multiLevelType w:val="multilevel"/>
    <w:tmpl w:val="ABEA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87513F"/>
    <w:multiLevelType w:val="hybridMultilevel"/>
    <w:tmpl w:val="6DCC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F0D01"/>
    <w:multiLevelType w:val="multilevel"/>
    <w:tmpl w:val="0BA0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5E21DD"/>
    <w:multiLevelType w:val="hybridMultilevel"/>
    <w:tmpl w:val="9EBCF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96E25"/>
    <w:multiLevelType w:val="hybridMultilevel"/>
    <w:tmpl w:val="FA54156A"/>
    <w:lvl w:ilvl="0" w:tplc="19B69F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34E42"/>
    <w:multiLevelType w:val="multilevel"/>
    <w:tmpl w:val="1A5A7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EB552D"/>
    <w:multiLevelType w:val="hybridMultilevel"/>
    <w:tmpl w:val="E51852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10E595C"/>
    <w:multiLevelType w:val="multilevel"/>
    <w:tmpl w:val="AFAE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EE1382"/>
    <w:multiLevelType w:val="multilevel"/>
    <w:tmpl w:val="0BA0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A40013"/>
    <w:multiLevelType w:val="hybridMultilevel"/>
    <w:tmpl w:val="107CB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A7520"/>
    <w:multiLevelType w:val="multilevel"/>
    <w:tmpl w:val="2A5A0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1A6E87"/>
    <w:multiLevelType w:val="multilevel"/>
    <w:tmpl w:val="ECA0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D96980"/>
    <w:multiLevelType w:val="multilevel"/>
    <w:tmpl w:val="2670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531B88"/>
    <w:multiLevelType w:val="hybridMultilevel"/>
    <w:tmpl w:val="ABAEE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815529">
    <w:abstractNumId w:val="11"/>
  </w:num>
  <w:num w:numId="2" w16cid:durableId="488324717">
    <w:abstractNumId w:val="9"/>
  </w:num>
  <w:num w:numId="3" w16cid:durableId="704717492">
    <w:abstractNumId w:val="13"/>
  </w:num>
  <w:num w:numId="4" w16cid:durableId="297297541">
    <w:abstractNumId w:val="0"/>
  </w:num>
  <w:num w:numId="5" w16cid:durableId="1518886787">
    <w:abstractNumId w:val="6"/>
  </w:num>
  <w:num w:numId="6" w16cid:durableId="2044095593">
    <w:abstractNumId w:val="12"/>
  </w:num>
  <w:num w:numId="7" w16cid:durableId="967199251">
    <w:abstractNumId w:val="1"/>
  </w:num>
  <w:num w:numId="8" w16cid:durableId="2090734723">
    <w:abstractNumId w:val="8"/>
  </w:num>
  <w:num w:numId="9" w16cid:durableId="1641307622">
    <w:abstractNumId w:val="3"/>
  </w:num>
  <w:num w:numId="10" w16cid:durableId="1515916568">
    <w:abstractNumId w:val="14"/>
  </w:num>
  <w:num w:numId="11" w16cid:durableId="28840513">
    <w:abstractNumId w:val="5"/>
  </w:num>
  <w:num w:numId="12" w16cid:durableId="1092892803">
    <w:abstractNumId w:val="7"/>
  </w:num>
  <w:num w:numId="13" w16cid:durableId="958605931">
    <w:abstractNumId w:val="2"/>
  </w:num>
  <w:num w:numId="14" w16cid:durableId="1726683046">
    <w:abstractNumId w:val="10"/>
  </w:num>
  <w:num w:numId="15" w16cid:durableId="10086048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E43"/>
    <w:rsid w:val="000D5EC4"/>
    <w:rsid w:val="001913A6"/>
    <w:rsid w:val="001D5251"/>
    <w:rsid w:val="001E18A8"/>
    <w:rsid w:val="0027649C"/>
    <w:rsid w:val="002D5EE4"/>
    <w:rsid w:val="00346374"/>
    <w:rsid w:val="0048215E"/>
    <w:rsid w:val="00487973"/>
    <w:rsid w:val="00536AF9"/>
    <w:rsid w:val="00544D1F"/>
    <w:rsid w:val="00557FA3"/>
    <w:rsid w:val="005D3120"/>
    <w:rsid w:val="00600F4A"/>
    <w:rsid w:val="00697354"/>
    <w:rsid w:val="006B20A5"/>
    <w:rsid w:val="00777AB7"/>
    <w:rsid w:val="008869E2"/>
    <w:rsid w:val="008A0946"/>
    <w:rsid w:val="00933884"/>
    <w:rsid w:val="0094020F"/>
    <w:rsid w:val="00A2274D"/>
    <w:rsid w:val="00A53E43"/>
    <w:rsid w:val="00AE7ADD"/>
    <w:rsid w:val="00AF7D6A"/>
    <w:rsid w:val="00E627EA"/>
    <w:rsid w:val="00EB7D26"/>
    <w:rsid w:val="00EC24DB"/>
    <w:rsid w:val="00F72343"/>
    <w:rsid w:val="00FD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2A5B9"/>
  <w15:chartTrackingRefBased/>
  <w15:docId w15:val="{30877B51-94D6-461D-9239-A69346B7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0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E4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00F4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00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0F4A"/>
    <w:rPr>
      <w:color w:val="0000FF"/>
      <w:u w:val="single"/>
    </w:rPr>
  </w:style>
  <w:style w:type="paragraph" w:styleId="Revision">
    <w:name w:val="Revision"/>
    <w:hidden/>
    <w:uiPriority w:val="99"/>
    <w:semiHidden/>
    <w:rsid w:val="002D5EE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2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20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20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0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0A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77A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73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ttler.com/publication-press/publication/minnesota-enacts-paid-family-and-medical-leave-statute" TargetMode="External"/><Relationship Id="rId5" Type="http://schemas.openxmlformats.org/officeDocument/2006/relationships/hyperlink" Target="https://www.revisor.mn.gov/bills/bill.php?b=house&amp;f=HF0002&amp;ssn=0&amp;y=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 Tompt</dc:creator>
  <cp:keywords/>
  <dc:description/>
  <cp:lastModifiedBy>Kim Andrews</cp:lastModifiedBy>
  <cp:revision>11</cp:revision>
  <dcterms:created xsi:type="dcterms:W3CDTF">2023-10-06T21:27:00Z</dcterms:created>
  <dcterms:modified xsi:type="dcterms:W3CDTF">2023-10-30T21:08:00Z</dcterms:modified>
</cp:coreProperties>
</file>