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177F" w14:textId="40FCD471" w:rsidR="00A53E43" w:rsidRDefault="00A53E43">
      <w:r>
        <w:t xml:space="preserve">Our third topic in the Minnesota Legislature update series is the introduction of a </w:t>
      </w:r>
      <w:r w:rsidR="00EC24DB">
        <w:t>s</w:t>
      </w:r>
      <w:r>
        <w:t>tate</w:t>
      </w:r>
      <w:r w:rsidR="00EC24DB">
        <w:t>w</w:t>
      </w:r>
      <w:r>
        <w:t xml:space="preserve">ide Paid Sick and Safe Leave law, which is applicable to all employers with one or more employees in Minnesota. This new law goes into effect January 1, 2024. Here is what you need to know: </w:t>
      </w:r>
    </w:p>
    <w:p w14:paraId="46E2AF80" w14:textId="3E6ED0DD" w:rsidR="00A53E43" w:rsidRPr="00A53E43" w:rsidRDefault="00A53E43" w:rsidP="00A53E43">
      <w:r w:rsidRPr="00A53E43">
        <w:rPr>
          <w:b/>
          <w:bCs/>
        </w:rPr>
        <w:t xml:space="preserve">Covered employees </w:t>
      </w:r>
      <w:r w:rsidR="00EC24DB">
        <w:rPr>
          <w:b/>
          <w:bCs/>
        </w:rPr>
        <w:t>i</w:t>
      </w:r>
      <w:r w:rsidRPr="00A53E43">
        <w:rPr>
          <w:b/>
          <w:bCs/>
        </w:rPr>
        <w:t>nclude:</w:t>
      </w:r>
    </w:p>
    <w:p w14:paraId="0173ABAD" w14:textId="77777777" w:rsidR="00A53E43" w:rsidRPr="00A53E43" w:rsidRDefault="00A53E43" w:rsidP="00A53E43">
      <w:pPr>
        <w:numPr>
          <w:ilvl w:val="0"/>
          <w:numId w:val="1"/>
        </w:numPr>
      </w:pPr>
      <w:r w:rsidRPr="00A53E43">
        <w:t>All employees in Minnesota working for 80+ hours/year.</w:t>
      </w:r>
    </w:p>
    <w:p w14:paraId="4D8DCE15" w14:textId="77777777" w:rsidR="00A53E43" w:rsidRPr="00A53E43" w:rsidRDefault="00A53E43" w:rsidP="00A53E43">
      <w:pPr>
        <w:numPr>
          <w:ilvl w:val="1"/>
          <w:numId w:val="1"/>
        </w:numPr>
      </w:pPr>
      <w:r w:rsidRPr="00A53E43">
        <w:t>Excludes independent contractors and certain air carrier crew.</w:t>
      </w:r>
    </w:p>
    <w:p w14:paraId="5427EB59" w14:textId="77777777" w:rsidR="00A53E43" w:rsidRPr="00A53E43" w:rsidRDefault="00A53E43" w:rsidP="00A53E43">
      <w:r w:rsidRPr="00A53E43">
        <w:rPr>
          <w:b/>
          <w:bCs/>
        </w:rPr>
        <w:t>Accrual, grants, and carryover:</w:t>
      </w:r>
    </w:p>
    <w:p w14:paraId="1A7C93F8" w14:textId="77777777" w:rsidR="00A53E43" w:rsidRPr="00A53E43" w:rsidRDefault="00A53E43" w:rsidP="00A53E43">
      <w:pPr>
        <w:numPr>
          <w:ilvl w:val="0"/>
          <w:numId w:val="2"/>
        </w:numPr>
      </w:pPr>
      <w:r w:rsidRPr="00A53E43">
        <w:t>Accrual or grant starts on January 1, 2024, or at employment start, whichever is later.</w:t>
      </w:r>
    </w:p>
    <w:p w14:paraId="38455461" w14:textId="7A50777E" w:rsidR="00A53E43" w:rsidRDefault="00A53E43" w:rsidP="00A53E43">
      <w:pPr>
        <w:numPr>
          <w:ilvl w:val="0"/>
          <w:numId w:val="2"/>
        </w:numPr>
      </w:pPr>
      <w:r w:rsidRPr="00A53E43">
        <w:t xml:space="preserve">Up to 48 hours of leave per year, more at employer’s discretion.  A year is defined as any 12-month period established by the </w:t>
      </w:r>
      <w:r w:rsidR="00600F4A">
        <w:t>employer</w:t>
      </w:r>
      <w:r w:rsidRPr="00A53E43">
        <w:t>.</w:t>
      </w:r>
    </w:p>
    <w:p w14:paraId="116FC0DB" w14:textId="3C4F71A5" w:rsidR="00A53E43" w:rsidRPr="00A53E43" w:rsidRDefault="002D5EE4" w:rsidP="00A53E43">
      <w:pPr>
        <w:pStyle w:val="ListParagraph"/>
        <w:numPr>
          <w:ilvl w:val="0"/>
          <w:numId w:val="2"/>
        </w:numPr>
      </w:pPr>
      <w:r>
        <w:t>Employers have t</w:t>
      </w:r>
      <w:r w:rsidR="00A53E43">
        <w:t>wo options</w:t>
      </w:r>
      <w:r>
        <w:t xml:space="preserve"> for how to award sick time</w:t>
      </w:r>
      <w:r w:rsidR="00A53E43">
        <w:t>:</w:t>
      </w:r>
    </w:p>
    <w:p w14:paraId="4FADE73F" w14:textId="77777777" w:rsidR="00A53E43" w:rsidRDefault="00A53E43" w:rsidP="00A53E43">
      <w:pPr>
        <w:numPr>
          <w:ilvl w:val="1"/>
          <w:numId w:val="2"/>
        </w:numPr>
      </w:pPr>
      <w:r w:rsidRPr="00A53E43">
        <w:rPr>
          <w:b/>
          <w:bCs/>
        </w:rPr>
        <w:t>Accrual</w:t>
      </w:r>
      <w:r>
        <w:t xml:space="preserve">: </w:t>
      </w:r>
    </w:p>
    <w:p w14:paraId="6BAA46DE" w14:textId="4EC7AC18" w:rsidR="00A53E43" w:rsidRDefault="00A53E43" w:rsidP="00A53E43">
      <w:pPr>
        <w:numPr>
          <w:ilvl w:val="2"/>
          <w:numId w:val="2"/>
        </w:numPr>
      </w:pPr>
      <w:r w:rsidRPr="00A53E43">
        <w:t>Accrue 1-hour per 30 hours worked</w:t>
      </w:r>
      <w:r w:rsidR="00600F4A">
        <w:t xml:space="preserve"> (.0334 per hour worked)</w:t>
      </w:r>
      <w:r w:rsidRPr="00A53E43">
        <w:t xml:space="preserve">, </w:t>
      </w:r>
      <w:r w:rsidR="00EC24DB">
        <w:t xml:space="preserve">a </w:t>
      </w:r>
      <w:r w:rsidRPr="00A53E43">
        <w:t>40-hour workweek</w:t>
      </w:r>
      <w:r w:rsidR="00EC24DB">
        <w:t xml:space="preserve"> is assumed for </w:t>
      </w:r>
      <w:r w:rsidR="00EC24DB" w:rsidRPr="00A53E43">
        <w:t>exempt employees</w:t>
      </w:r>
      <w:r w:rsidRPr="00A53E43">
        <w:t>, unless their normal workweek is more than 40</w:t>
      </w:r>
      <w:r w:rsidR="00EC24DB">
        <w:t xml:space="preserve"> hours</w:t>
      </w:r>
      <w:r w:rsidRPr="00A53E43">
        <w:t>.</w:t>
      </w:r>
    </w:p>
    <w:p w14:paraId="0ECE7471" w14:textId="2A8304E8" w:rsidR="00A53E43" w:rsidRPr="00A53E43" w:rsidRDefault="00A53E43" w:rsidP="00A53E43">
      <w:pPr>
        <w:numPr>
          <w:ilvl w:val="2"/>
          <w:numId w:val="2"/>
        </w:numPr>
      </w:pPr>
      <w:r w:rsidRPr="00A53E43">
        <w:t>Employees may carry</w:t>
      </w:r>
      <w:r w:rsidR="00EC24DB">
        <w:t xml:space="preserve"> </w:t>
      </w:r>
      <w:r w:rsidRPr="00A53E43">
        <w:t xml:space="preserve">over </w:t>
      </w:r>
      <w:r w:rsidRPr="00A53E43">
        <w:rPr>
          <w:b/>
          <w:bCs/>
        </w:rPr>
        <w:t>all</w:t>
      </w:r>
      <w:r w:rsidRPr="00A53E43">
        <w:t xml:space="preserve"> unused </w:t>
      </w:r>
      <w:r w:rsidR="00EC24DB">
        <w:t>p</w:t>
      </w:r>
      <w:r w:rsidRPr="00A53E43">
        <w:t xml:space="preserve">aid </w:t>
      </w:r>
      <w:r w:rsidR="00EC24DB">
        <w:t>s</w:t>
      </w:r>
      <w:r w:rsidRPr="00A53E43">
        <w:t xml:space="preserve">ick and </w:t>
      </w:r>
      <w:r w:rsidR="00EC24DB">
        <w:t>s</w:t>
      </w:r>
      <w:r w:rsidRPr="00A53E43">
        <w:t xml:space="preserve">afe </w:t>
      </w:r>
      <w:r w:rsidR="00EC24DB">
        <w:t>l</w:t>
      </w:r>
      <w:r w:rsidRPr="00A53E43">
        <w:t xml:space="preserve">eave from year to year, but </w:t>
      </w:r>
      <w:r w:rsidR="00EC24DB">
        <w:t>employers</w:t>
      </w:r>
      <w:r w:rsidR="00EC24DB" w:rsidRPr="00A53E43">
        <w:t xml:space="preserve"> </w:t>
      </w:r>
      <w:r w:rsidRPr="00A53E43">
        <w:t>may implement a maximum accrual of 80 hours.</w:t>
      </w:r>
    </w:p>
    <w:p w14:paraId="04925513" w14:textId="7F5FFCFD" w:rsidR="00A53E43" w:rsidRPr="00A53E43" w:rsidRDefault="00A53E43" w:rsidP="00A53E43">
      <w:pPr>
        <w:numPr>
          <w:ilvl w:val="1"/>
          <w:numId w:val="2"/>
        </w:numPr>
        <w:rPr>
          <w:b/>
          <w:bCs/>
        </w:rPr>
      </w:pPr>
      <w:r w:rsidRPr="00A53E43">
        <w:rPr>
          <w:b/>
          <w:bCs/>
        </w:rPr>
        <w:t>Grant (</w:t>
      </w:r>
      <w:r w:rsidR="00EC24DB">
        <w:rPr>
          <w:b/>
          <w:bCs/>
        </w:rPr>
        <w:t>f</w:t>
      </w:r>
      <w:r w:rsidRPr="00A53E43">
        <w:rPr>
          <w:b/>
          <w:bCs/>
        </w:rPr>
        <w:t>rontload)</w:t>
      </w:r>
      <w:r>
        <w:rPr>
          <w:b/>
          <w:bCs/>
        </w:rPr>
        <w:t>:</w:t>
      </w:r>
    </w:p>
    <w:p w14:paraId="2155BD3D" w14:textId="27E4836B" w:rsidR="00A53E43" w:rsidRPr="00A53E43" w:rsidRDefault="00A53E43" w:rsidP="00A53E43">
      <w:pPr>
        <w:numPr>
          <w:ilvl w:val="2"/>
          <w:numId w:val="2"/>
        </w:numPr>
      </w:pPr>
      <w:r w:rsidRPr="00A53E43">
        <w:t>If 48 hours is granted at the beginning of the year, accrued but unused time at the end of the year must be carried over. </w:t>
      </w:r>
    </w:p>
    <w:p w14:paraId="71498AC0" w14:textId="77777777" w:rsidR="00A53E43" w:rsidRPr="00A53E43" w:rsidRDefault="00A53E43" w:rsidP="00A53E43">
      <w:pPr>
        <w:numPr>
          <w:ilvl w:val="2"/>
          <w:numId w:val="2"/>
        </w:numPr>
      </w:pPr>
      <w:r w:rsidRPr="00A53E43">
        <w:t>If 80 hours or greater is granted at the beginning of the year, carryover is not required.</w:t>
      </w:r>
    </w:p>
    <w:p w14:paraId="2D5CCD6E" w14:textId="77777777" w:rsidR="00A53E43" w:rsidRPr="00A53E43" w:rsidRDefault="00A53E43" w:rsidP="00A53E43">
      <w:r w:rsidRPr="00A53E43">
        <w:rPr>
          <w:b/>
          <w:bCs/>
        </w:rPr>
        <w:t>Reasons for use</w:t>
      </w:r>
    </w:p>
    <w:p w14:paraId="5C41BB2B" w14:textId="6C34050B" w:rsidR="00A53E43" w:rsidRPr="00A53E43" w:rsidRDefault="00A53E43" w:rsidP="00A53E43">
      <w:pPr>
        <w:numPr>
          <w:ilvl w:val="0"/>
          <w:numId w:val="3"/>
        </w:numPr>
      </w:pPr>
      <w:r w:rsidRPr="00A53E43">
        <w:t xml:space="preserve">Paid sick and safe leave covers the employee </w:t>
      </w:r>
      <w:r w:rsidR="00EC24DB">
        <w:t>and time needed</w:t>
      </w:r>
      <w:r w:rsidRPr="00A53E43">
        <w:t xml:space="preserve"> to care for a family member, which includes one individual annually designated by the employee.  Time can be used for:</w:t>
      </w:r>
    </w:p>
    <w:p w14:paraId="60B64207" w14:textId="77777777" w:rsidR="00A53E43" w:rsidRPr="00A53E43" w:rsidRDefault="00A53E43" w:rsidP="00A53E43">
      <w:pPr>
        <w:numPr>
          <w:ilvl w:val="1"/>
          <w:numId w:val="3"/>
        </w:numPr>
      </w:pPr>
      <w:r w:rsidRPr="00A53E43">
        <w:t>Employee’s health, family member care and health, domestic abuse, sexual assault, emergencies, and public health concerns.</w:t>
      </w:r>
    </w:p>
    <w:p w14:paraId="4B0FE57A" w14:textId="77777777" w:rsidR="00A53E43" w:rsidRPr="00A53E43" w:rsidRDefault="00A53E43" w:rsidP="00A53E43">
      <w:r w:rsidRPr="00A53E43">
        <w:rPr>
          <w:b/>
          <w:bCs/>
        </w:rPr>
        <w:t xml:space="preserve">Notice and </w:t>
      </w:r>
      <w:proofErr w:type="gramStart"/>
      <w:r w:rsidRPr="00A53E43">
        <w:rPr>
          <w:b/>
          <w:bCs/>
        </w:rPr>
        <w:t>documentation</w:t>
      </w:r>
      <w:proofErr w:type="gramEnd"/>
    </w:p>
    <w:p w14:paraId="3BE3587B" w14:textId="77777777" w:rsidR="00A53E43" w:rsidRPr="00A53E43" w:rsidRDefault="00A53E43" w:rsidP="00A53E43">
      <w:pPr>
        <w:numPr>
          <w:ilvl w:val="0"/>
          <w:numId w:val="4"/>
        </w:numPr>
      </w:pPr>
      <w:r w:rsidRPr="00A53E43">
        <w:t>Notice for unforeseeable absences should be given as soon as practicable. </w:t>
      </w:r>
    </w:p>
    <w:p w14:paraId="1BC63463" w14:textId="39D355CC" w:rsidR="00A53E43" w:rsidRPr="00A53E43" w:rsidRDefault="00A53E43" w:rsidP="00A53E43">
      <w:pPr>
        <w:numPr>
          <w:ilvl w:val="1"/>
          <w:numId w:val="4"/>
        </w:numPr>
      </w:pPr>
      <w:r w:rsidRPr="00A53E43">
        <w:t>Employers may require up to 7 days advance notice for foreseeable absences.</w:t>
      </w:r>
    </w:p>
    <w:p w14:paraId="1DD47B4E" w14:textId="22B27507" w:rsidR="00A53E43" w:rsidRPr="00A53E43" w:rsidRDefault="00A53E43" w:rsidP="00A53E43">
      <w:pPr>
        <w:numPr>
          <w:ilvl w:val="0"/>
          <w:numId w:val="4"/>
        </w:numPr>
      </w:pPr>
      <w:r w:rsidRPr="00A53E43">
        <w:t xml:space="preserve">Documentation may be required for absences </w:t>
      </w:r>
      <w:r w:rsidR="00EC24DB">
        <w:t>longer</w:t>
      </w:r>
      <w:r w:rsidR="00EC24DB" w:rsidRPr="00A53E43">
        <w:t xml:space="preserve"> </w:t>
      </w:r>
      <w:r w:rsidRPr="00A53E43">
        <w:t>than 3 days in a row, but if the employee did not seek care from a health professional or obtaining documentation isn’t reasonable, the employer must accept a written statement from the employee.</w:t>
      </w:r>
    </w:p>
    <w:p w14:paraId="7B8B21CB" w14:textId="77777777" w:rsidR="00A53E43" w:rsidRPr="00A53E43" w:rsidRDefault="00A53E43" w:rsidP="00A53E43">
      <w:r w:rsidRPr="00A53E43">
        <w:rPr>
          <w:b/>
          <w:bCs/>
        </w:rPr>
        <w:lastRenderedPageBreak/>
        <w:t xml:space="preserve">Termination and </w:t>
      </w:r>
      <w:proofErr w:type="gramStart"/>
      <w:r w:rsidRPr="00A53E43">
        <w:rPr>
          <w:b/>
          <w:bCs/>
        </w:rPr>
        <w:t>rehire</w:t>
      </w:r>
      <w:proofErr w:type="gramEnd"/>
    </w:p>
    <w:p w14:paraId="239C6D5F" w14:textId="3ECB297C" w:rsidR="00A53E43" w:rsidRPr="00A53E43" w:rsidRDefault="00A53E43" w:rsidP="00A53E43">
      <w:pPr>
        <w:numPr>
          <w:ilvl w:val="0"/>
          <w:numId w:val="5"/>
        </w:numPr>
      </w:pPr>
      <w:r w:rsidRPr="00A53E43">
        <w:t xml:space="preserve">Unused leave </w:t>
      </w:r>
      <w:r w:rsidR="002D5EE4">
        <w:t xml:space="preserve">is </w:t>
      </w:r>
      <w:r w:rsidRPr="00A53E43">
        <w:t xml:space="preserve">not </w:t>
      </w:r>
      <w:r>
        <w:t xml:space="preserve">required to be </w:t>
      </w:r>
      <w:r w:rsidRPr="00A53E43">
        <w:t>paid out at termination.</w:t>
      </w:r>
    </w:p>
    <w:p w14:paraId="431C9C78" w14:textId="6557B26B" w:rsidR="00A53E43" w:rsidRPr="00A53E43" w:rsidRDefault="00A53E43" w:rsidP="00A53E43">
      <w:pPr>
        <w:numPr>
          <w:ilvl w:val="0"/>
          <w:numId w:val="5"/>
        </w:numPr>
      </w:pPr>
      <w:r w:rsidRPr="00A53E43">
        <w:t xml:space="preserve">Accrued leave </w:t>
      </w:r>
      <w:r w:rsidR="002D5EE4">
        <w:t xml:space="preserve">is </w:t>
      </w:r>
      <w:r w:rsidRPr="00A53E43">
        <w:t>retained during transfers or rehires within 180 days of separation.</w:t>
      </w:r>
    </w:p>
    <w:p w14:paraId="3BAB81F5" w14:textId="77777777" w:rsidR="00A53E43" w:rsidRPr="00A53E43" w:rsidRDefault="00A53E43" w:rsidP="00A53E43">
      <w:r w:rsidRPr="00A53E43">
        <w:rPr>
          <w:b/>
          <w:bCs/>
        </w:rPr>
        <w:t>Coordination with other laws and policies:</w:t>
      </w:r>
    </w:p>
    <w:p w14:paraId="3DA57017" w14:textId="77777777" w:rsidR="00A53E43" w:rsidRPr="00A53E43" w:rsidRDefault="00A53E43" w:rsidP="00A53E43">
      <w:pPr>
        <w:numPr>
          <w:ilvl w:val="0"/>
          <w:numId w:val="6"/>
        </w:numPr>
      </w:pPr>
      <w:r w:rsidRPr="00A53E43">
        <w:t>City ordinances prevail if more generous than the state law.</w:t>
      </w:r>
    </w:p>
    <w:p w14:paraId="0ECA0544" w14:textId="13F5691B" w:rsidR="00A53E43" w:rsidRPr="00A53E43" w:rsidRDefault="00E627EA" w:rsidP="00A53E43">
      <w:pPr>
        <w:numPr>
          <w:ilvl w:val="0"/>
          <w:numId w:val="6"/>
        </w:numPr>
      </w:pPr>
      <w:r>
        <w:t>Businesses may</w:t>
      </w:r>
      <w:r w:rsidR="00A53E43">
        <w:t xml:space="preserve"> choose to keep </w:t>
      </w:r>
      <w:r>
        <w:t xml:space="preserve">their </w:t>
      </w:r>
      <w:r w:rsidR="00A53E43">
        <w:t>existing</w:t>
      </w:r>
      <w:r>
        <w:t xml:space="preserve"> PTO and/or sick</w:t>
      </w:r>
      <w:r w:rsidR="00A53E43">
        <w:t xml:space="preserve"> policies </w:t>
      </w:r>
      <w:r>
        <w:t>if</w:t>
      </w:r>
      <w:r w:rsidR="00A53E43">
        <w:t xml:space="preserve"> they comply with the minimum requirements of the </w:t>
      </w:r>
      <w:r>
        <w:t xml:space="preserve">new </w:t>
      </w:r>
      <w:r w:rsidR="00A53E43">
        <w:t xml:space="preserve">law. </w:t>
      </w:r>
      <w:r w:rsidR="00544D1F">
        <w:t>S</w:t>
      </w:r>
      <w:r w:rsidR="00A53E43">
        <w:t>ick time does</w:t>
      </w:r>
      <w:r w:rsidR="00F72343">
        <w:t xml:space="preserve"> not</w:t>
      </w:r>
      <w:r w:rsidR="00A53E43">
        <w:t xml:space="preserve"> </w:t>
      </w:r>
      <w:r w:rsidR="00544D1F">
        <w:t>require</w:t>
      </w:r>
      <w:r w:rsidR="00A53E43">
        <w:t xml:space="preserve"> its own separate policy</w:t>
      </w:r>
      <w:r w:rsidR="00544D1F">
        <w:t xml:space="preserve"> if already covered under a more comprehensive PTO policy</w:t>
      </w:r>
      <w:r w:rsidR="00A53E43">
        <w:t>.</w:t>
      </w:r>
    </w:p>
    <w:p w14:paraId="7738AC2F" w14:textId="77777777" w:rsidR="00A53E43" w:rsidRPr="00A53E43" w:rsidRDefault="00A53E43" w:rsidP="00A53E43">
      <w:r w:rsidRPr="00A53E43">
        <w:rPr>
          <w:b/>
          <w:bCs/>
        </w:rPr>
        <w:t>Employer notices and records:</w:t>
      </w:r>
    </w:p>
    <w:p w14:paraId="543286E7" w14:textId="48CDE149" w:rsidR="00A53E43" w:rsidRPr="00A53E43" w:rsidRDefault="00A53E43" w:rsidP="00A53E43">
      <w:pPr>
        <w:numPr>
          <w:ilvl w:val="0"/>
          <w:numId w:val="7"/>
        </w:numPr>
      </w:pPr>
      <w:r w:rsidRPr="00A53E43">
        <w:t xml:space="preserve">Notice to employees about Sick and Safe </w:t>
      </w:r>
      <w:r w:rsidR="00544D1F">
        <w:t>L</w:t>
      </w:r>
      <w:r w:rsidRPr="00A53E43">
        <w:t>eave rights is required upon hire and to current employees on or after January 1, 2024. </w:t>
      </w:r>
    </w:p>
    <w:p w14:paraId="316E2143" w14:textId="77777777" w:rsidR="00A53E43" w:rsidRPr="00A53E43" w:rsidRDefault="00A53E43" w:rsidP="00A53E43">
      <w:pPr>
        <w:numPr>
          <w:ilvl w:val="1"/>
          <w:numId w:val="7"/>
        </w:numPr>
      </w:pPr>
      <w:r w:rsidRPr="00A53E43">
        <w:t>The state will develop a notice.</w:t>
      </w:r>
    </w:p>
    <w:p w14:paraId="68FEDCE8" w14:textId="77777777" w:rsidR="00A53E43" w:rsidRPr="00A53E43" w:rsidRDefault="00A53E43" w:rsidP="00A53E43">
      <w:pPr>
        <w:numPr>
          <w:ilvl w:val="1"/>
          <w:numId w:val="7"/>
        </w:numPr>
      </w:pPr>
      <w:r w:rsidRPr="00A53E43">
        <w:t>Employers must also include this notice in the employee handbook.</w:t>
      </w:r>
    </w:p>
    <w:p w14:paraId="146D9AC2" w14:textId="1D489B5E" w:rsidR="00A53E43" w:rsidRPr="00A53E43" w:rsidRDefault="00A53E43" w:rsidP="00A53E43">
      <w:pPr>
        <w:numPr>
          <w:ilvl w:val="0"/>
          <w:numId w:val="7"/>
        </w:numPr>
      </w:pPr>
      <w:r w:rsidRPr="00A53E43">
        <w:t>Each employee must be provided an earning statement at the end of each pay</w:t>
      </w:r>
      <w:r w:rsidR="00544D1F">
        <w:t xml:space="preserve"> </w:t>
      </w:r>
      <w:r w:rsidRPr="00A53E43">
        <w:t>period that includes:</w:t>
      </w:r>
    </w:p>
    <w:p w14:paraId="4BD6BC39" w14:textId="621FAB68" w:rsidR="00A53E43" w:rsidRPr="00A53E43" w:rsidRDefault="00544D1F" w:rsidP="00A53E43">
      <w:pPr>
        <w:numPr>
          <w:ilvl w:val="1"/>
          <w:numId w:val="7"/>
        </w:numPr>
      </w:pPr>
      <w:r>
        <w:t>T</w:t>
      </w:r>
      <w:r w:rsidR="00A53E43" w:rsidRPr="00A53E43">
        <w:t>otal number of sick and safe leave hours accrued and available for use, and</w:t>
      </w:r>
    </w:p>
    <w:p w14:paraId="07FFB5F2" w14:textId="77777777" w:rsidR="00A53E43" w:rsidRPr="00A53E43" w:rsidRDefault="00A53E43" w:rsidP="00A53E43">
      <w:pPr>
        <w:numPr>
          <w:ilvl w:val="1"/>
          <w:numId w:val="7"/>
        </w:numPr>
      </w:pPr>
      <w:r w:rsidRPr="00A53E43">
        <w:t>the total number of sick and safe leave hours used during the pay period.</w:t>
      </w:r>
    </w:p>
    <w:p w14:paraId="77F3B337" w14:textId="77777777" w:rsidR="00A53E43" w:rsidRPr="00A53E43" w:rsidRDefault="00A53E43" w:rsidP="00A53E43">
      <w:r w:rsidRPr="00A53E43">
        <w:rPr>
          <w:b/>
          <w:bCs/>
        </w:rPr>
        <w:t>Restrictions and requirements:</w:t>
      </w:r>
    </w:p>
    <w:p w14:paraId="5B2F4EEC" w14:textId="77777777" w:rsidR="00A53E43" w:rsidRPr="00A53E43" w:rsidRDefault="00A53E43" w:rsidP="00A53E43">
      <w:pPr>
        <w:numPr>
          <w:ilvl w:val="0"/>
          <w:numId w:val="8"/>
        </w:numPr>
      </w:pPr>
      <w:r w:rsidRPr="00A53E43">
        <w:t>Retaliation is prohibited for employees using sick and safe leave.  Employers that use an “attendance points” system cannot assess points for sick and safe leave use.</w:t>
      </w:r>
    </w:p>
    <w:p w14:paraId="40F39D02" w14:textId="2B669E68" w:rsidR="00A53E43" w:rsidRDefault="00A53E43" w:rsidP="00A53E43">
      <w:pPr>
        <w:numPr>
          <w:ilvl w:val="0"/>
          <w:numId w:val="8"/>
        </w:numPr>
      </w:pPr>
      <w:r w:rsidRPr="00A53E43">
        <w:t>Employers must maintain the confidentiality of employee and family member information.</w:t>
      </w:r>
    </w:p>
    <w:p w14:paraId="1AD7BB40" w14:textId="2CCA30EB" w:rsidR="00A53E43" w:rsidRPr="00A53E43" w:rsidRDefault="00A53E43" w:rsidP="00A53E43">
      <w:pPr>
        <w:rPr>
          <w:b/>
          <w:bCs/>
        </w:rPr>
      </w:pPr>
      <w:r w:rsidRPr="00600F4A">
        <w:rPr>
          <w:b/>
          <w:bCs/>
        </w:rPr>
        <w:t xml:space="preserve">Actions to </w:t>
      </w:r>
      <w:r w:rsidR="00544D1F">
        <w:rPr>
          <w:b/>
          <w:bCs/>
        </w:rPr>
        <w:t>t</w:t>
      </w:r>
      <w:r w:rsidRPr="00600F4A">
        <w:rPr>
          <w:b/>
          <w:bCs/>
        </w:rPr>
        <w:t>ake:</w:t>
      </w:r>
    </w:p>
    <w:p w14:paraId="727BCA0C" w14:textId="05D85FF9" w:rsidR="00A53E43" w:rsidRPr="00A53E43" w:rsidRDefault="00A53E43" w:rsidP="00A53E43">
      <w:pPr>
        <w:numPr>
          <w:ilvl w:val="0"/>
          <w:numId w:val="9"/>
        </w:numPr>
      </w:pPr>
      <w:r w:rsidRPr="00A53E43">
        <w:t xml:space="preserve">Train all managers and HR personnel on </w:t>
      </w:r>
      <w:r w:rsidR="00544D1F">
        <w:t xml:space="preserve">the </w:t>
      </w:r>
      <w:r w:rsidRPr="00A53E43">
        <w:t>new law.</w:t>
      </w:r>
    </w:p>
    <w:p w14:paraId="12032E7D" w14:textId="63C36689" w:rsidR="00A53E43" w:rsidRPr="00A53E43" w:rsidRDefault="00A53E43" w:rsidP="00A53E43">
      <w:pPr>
        <w:numPr>
          <w:ilvl w:val="0"/>
          <w:numId w:val="9"/>
        </w:numPr>
      </w:pPr>
      <w:r w:rsidRPr="00A53E43">
        <w:t xml:space="preserve">Work with your </w:t>
      </w:r>
      <w:r>
        <w:t xml:space="preserve">PEO, </w:t>
      </w:r>
      <w:r w:rsidRPr="00A53E43">
        <w:t xml:space="preserve">HR </w:t>
      </w:r>
      <w:r w:rsidR="00544D1F">
        <w:t>p</w:t>
      </w:r>
      <w:r w:rsidRPr="00A53E43">
        <w:t>rofessional</w:t>
      </w:r>
      <w:r>
        <w:t>, or outside counsel</w:t>
      </w:r>
      <w:r w:rsidRPr="00A53E43">
        <w:t xml:space="preserve"> to implement a compliant policy and ensure that time is being </w:t>
      </w:r>
      <w:r w:rsidR="00600F4A" w:rsidRPr="00A53E43">
        <w:t>tracked.</w:t>
      </w:r>
      <w:r w:rsidRPr="00A53E43">
        <w:t xml:space="preserve"> </w:t>
      </w:r>
    </w:p>
    <w:p w14:paraId="1F1B3C44" w14:textId="5A417454" w:rsidR="00A53E43" w:rsidRDefault="00A53E43" w:rsidP="00A53E43">
      <w:pPr>
        <w:numPr>
          <w:ilvl w:val="0"/>
          <w:numId w:val="9"/>
        </w:numPr>
      </w:pPr>
      <w:r w:rsidRPr="00A53E43">
        <w:t>For employers that track time internally</w:t>
      </w:r>
      <w:r w:rsidR="00600F4A">
        <w:t xml:space="preserve"> (without a formal system)</w:t>
      </w:r>
      <w:r w:rsidRPr="00A53E43">
        <w:t>, implement a system for notifying employees of the earning statement requirements each pay</w:t>
      </w:r>
      <w:r w:rsidR="00544D1F">
        <w:t xml:space="preserve"> </w:t>
      </w:r>
      <w:r w:rsidRPr="00A53E43">
        <w:t>period.</w:t>
      </w:r>
    </w:p>
    <w:p w14:paraId="57FD4788" w14:textId="2A03C347" w:rsidR="00600F4A" w:rsidRDefault="00600F4A" w:rsidP="00A53E43">
      <w:pPr>
        <w:numPr>
          <w:ilvl w:val="0"/>
          <w:numId w:val="9"/>
        </w:numPr>
      </w:pPr>
      <w:r>
        <w:t xml:space="preserve">Review and distribute the Employee Notice, once available. </w:t>
      </w:r>
    </w:p>
    <w:p w14:paraId="7FD9113F" w14:textId="0A443BC0" w:rsidR="00600F4A" w:rsidRPr="00600F4A" w:rsidRDefault="00600F4A" w:rsidP="00600F4A">
      <w:pPr>
        <w:rPr>
          <w:b/>
          <w:bCs/>
        </w:rPr>
      </w:pPr>
      <w:r w:rsidRPr="00600F4A">
        <w:rPr>
          <w:b/>
          <w:bCs/>
        </w:rPr>
        <w:t>Resources</w:t>
      </w:r>
      <w:r>
        <w:rPr>
          <w:b/>
          <w:bCs/>
        </w:rPr>
        <w:t>:</w:t>
      </w:r>
    </w:p>
    <w:p w14:paraId="72ABB40B" w14:textId="5B2CE40C" w:rsidR="00A53E43" w:rsidRDefault="00000000" w:rsidP="00600F4A">
      <w:pPr>
        <w:shd w:val="clear" w:color="auto" w:fill="FFFFFF"/>
        <w:spacing w:before="240" w:after="240" w:line="240" w:lineRule="auto"/>
      </w:pPr>
      <w:hyperlink r:id="rId5" w:tgtFrame="_blank" w:history="1">
        <w:r w:rsidR="00600F4A" w:rsidRPr="00600F4A">
          <w:rPr>
            <w:rFonts w:eastAsia="Times New Roman" w:cstheme="minorHAnsi"/>
            <w:color w:val="0072CE"/>
            <w:u w:val="single"/>
          </w:rPr>
          <w:t>MN SF 3035</w:t>
        </w:r>
      </w:hyperlink>
      <w:r w:rsidR="00600F4A" w:rsidRPr="00600F4A">
        <w:rPr>
          <w:rFonts w:eastAsia="Times New Roman" w:cstheme="minorHAnsi"/>
          <w:color w:val="333333"/>
        </w:rPr>
        <w:br/>
      </w:r>
      <w:hyperlink r:id="rId6" w:tgtFrame="_blank" w:history="1">
        <w:r w:rsidR="00600F4A" w:rsidRPr="00600F4A">
          <w:rPr>
            <w:rFonts w:eastAsia="Times New Roman" w:cstheme="minorHAnsi"/>
            <w:color w:val="0072CE"/>
            <w:u w:val="single"/>
          </w:rPr>
          <w:t>Minnesota Passes State-Wide Earned Sick and Safe leave Law</w:t>
        </w:r>
      </w:hyperlink>
    </w:p>
    <w:sectPr w:rsidR="00A5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1F0"/>
    <w:multiLevelType w:val="multilevel"/>
    <w:tmpl w:val="BD30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F441D"/>
    <w:multiLevelType w:val="multilevel"/>
    <w:tmpl w:val="ABEAA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F0D01"/>
    <w:multiLevelType w:val="multilevel"/>
    <w:tmpl w:val="0BA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34E42"/>
    <w:multiLevelType w:val="multilevel"/>
    <w:tmpl w:val="1A5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E595C"/>
    <w:multiLevelType w:val="multilevel"/>
    <w:tmpl w:val="AFAE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E1382"/>
    <w:multiLevelType w:val="multilevel"/>
    <w:tmpl w:val="0BA0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A7520"/>
    <w:multiLevelType w:val="multilevel"/>
    <w:tmpl w:val="2A5A0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A6E87"/>
    <w:multiLevelType w:val="multilevel"/>
    <w:tmpl w:val="ECA0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96980"/>
    <w:multiLevelType w:val="multilevel"/>
    <w:tmpl w:val="267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815529">
    <w:abstractNumId w:val="6"/>
  </w:num>
  <w:num w:numId="2" w16cid:durableId="488324717">
    <w:abstractNumId w:val="5"/>
  </w:num>
  <w:num w:numId="3" w16cid:durableId="704717492">
    <w:abstractNumId w:val="8"/>
  </w:num>
  <w:num w:numId="4" w16cid:durableId="297297541">
    <w:abstractNumId w:val="0"/>
  </w:num>
  <w:num w:numId="5" w16cid:durableId="1518886787">
    <w:abstractNumId w:val="3"/>
  </w:num>
  <w:num w:numId="6" w16cid:durableId="2044095593">
    <w:abstractNumId w:val="7"/>
  </w:num>
  <w:num w:numId="7" w16cid:durableId="967199251">
    <w:abstractNumId w:val="1"/>
  </w:num>
  <w:num w:numId="8" w16cid:durableId="2090734723">
    <w:abstractNumId w:val="4"/>
  </w:num>
  <w:num w:numId="9" w16cid:durableId="1641307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43"/>
    <w:rsid w:val="002D5EE4"/>
    <w:rsid w:val="00346374"/>
    <w:rsid w:val="00544D1F"/>
    <w:rsid w:val="00557FA3"/>
    <w:rsid w:val="00600F4A"/>
    <w:rsid w:val="00933884"/>
    <w:rsid w:val="00A53E43"/>
    <w:rsid w:val="00E627EA"/>
    <w:rsid w:val="00EC24DB"/>
    <w:rsid w:val="00F7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A5B9"/>
  <w15:chartTrackingRefBased/>
  <w15:docId w15:val="{30877B51-94D6-461D-9239-A69346B7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F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43"/>
    <w:pPr>
      <w:ind w:left="720"/>
      <w:contextualSpacing/>
    </w:pPr>
  </w:style>
  <w:style w:type="character" w:customStyle="1" w:styleId="Heading2Char">
    <w:name w:val="Heading 2 Char"/>
    <w:basedOn w:val="DefaultParagraphFont"/>
    <w:link w:val="Heading2"/>
    <w:uiPriority w:val="9"/>
    <w:rsid w:val="00600F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F4A"/>
    <w:rPr>
      <w:color w:val="0000FF"/>
      <w:u w:val="single"/>
    </w:rPr>
  </w:style>
  <w:style w:type="paragraph" w:styleId="Revision">
    <w:name w:val="Revision"/>
    <w:hidden/>
    <w:uiPriority w:val="99"/>
    <w:semiHidden/>
    <w:rsid w:val="002D5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067">
      <w:bodyDiv w:val="1"/>
      <w:marLeft w:val="0"/>
      <w:marRight w:val="0"/>
      <w:marTop w:val="0"/>
      <w:marBottom w:val="0"/>
      <w:divBdr>
        <w:top w:val="none" w:sz="0" w:space="0" w:color="auto"/>
        <w:left w:val="none" w:sz="0" w:space="0" w:color="auto"/>
        <w:bottom w:val="none" w:sz="0" w:space="0" w:color="auto"/>
        <w:right w:val="none" w:sz="0" w:space="0" w:color="auto"/>
      </w:divBdr>
    </w:div>
    <w:div w:id="1361393627">
      <w:bodyDiv w:val="1"/>
      <w:marLeft w:val="0"/>
      <w:marRight w:val="0"/>
      <w:marTop w:val="0"/>
      <w:marBottom w:val="0"/>
      <w:divBdr>
        <w:top w:val="none" w:sz="0" w:space="0" w:color="auto"/>
        <w:left w:val="none" w:sz="0" w:space="0" w:color="auto"/>
        <w:bottom w:val="none" w:sz="0" w:space="0" w:color="auto"/>
        <w:right w:val="none" w:sz="0" w:space="0" w:color="auto"/>
      </w:divBdr>
    </w:div>
    <w:div w:id="1480272397">
      <w:bodyDiv w:val="1"/>
      <w:marLeft w:val="0"/>
      <w:marRight w:val="0"/>
      <w:marTop w:val="0"/>
      <w:marBottom w:val="0"/>
      <w:divBdr>
        <w:top w:val="none" w:sz="0" w:space="0" w:color="auto"/>
        <w:left w:val="none" w:sz="0" w:space="0" w:color="auto"/>
        <w:bottom w:val="none" w:sz="0" w:space="0" w:color="auto"/>
        <w:right w:val="none" w:sz="0" w:space="0" w:color="auto"/>
      </w:divBdr>
    </w:div>
    <w:div w:id="1618870797">
      <w:bodyDiv w:val="1"/>
      <w:marLeft w:val="0"/>
      <w:marRight w:val="0"/>
      <w:marTop w:val="0"/>
      <w:marBottom w:val="0"/>
      <w:divBdr>
        <w:top w:val="none" w:sz="0" w:space="0" w:color="auto"/>
        <w:left w:val="none" w:sz="0" w:space="0" w:color="auto"/>
        <w:bottom w:val="none" w:sz="0" w:space="0" w:color="auto"/>
        <w:right w:val="none" w:sz="0" w:space="0" w:color="auto"/>
      </w:divBdr>
    </w:div>
    <w:div w:id="1844004146">
      <w:bodyDiv w:val="1"/>
      <w:marLeft w:val="0"/>
      <w:marRight w:val="0"/>
      <w:marTop w:val="0"/>
      <w:marBottom w:val="0"/>
      <w:divBdr>
        <w:top w:val="none" w:sz="0" w:space="0" w:color="auto"/>
        <w:left w:val="none" w:sz="0" w:space="0" w:color="auto"/>
        <w:bottom w:val="none" w:sz="0" w:space="0" w:color="auto"/>
        <w:right w:val="none" w:sz="0" w:space="0" w:color="auto"/>
      </w:divBdr>
    </w:div>
    <w:div w:id="19216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tler.com/publication-press/publication/minnesota-passes-state-wide-earned-sick-and-safe-leave-law" TargetMode="External"/><Relationship Id="rId5" Type="http://schemas.openxmlformats.org/officeDocument/2006/relationships/hyperlink" Target="https://www.revisor.mn.gov/laws/2023/0/Session+Law/Chapter/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Tompt</dc:creator>
  <cp:keywords/>
  <dc:description/>
  <cp:lastModifiedBy>Kim Andrews</cp:lastModifiedBy>
  <cp:revision>3</cp:revision>
  <dcterms:created xsi:type="dcterms:W3CDTF">2023-10-04T19:56:00Z</dcterms:created>
  <dcterms:modified xsi:type="dcterms:W3CDTF">2023-10-04T20:04:00Z</dcterms:modified>
</cp:coreProperties>
</file>