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5433" w14:textId="47AA7D7D" w:rsidR="000462B1" w:rsidRDefault="000462B1" w:rsidP="000462B1">
      <w:pPr>
        <w:jc w:val="center"/>
        <w:rPr>
          <w:bCs/>
        </w:rPr>
        <w:sectPr w:rsidR="000462B1" w:rsidSect="000462B1">
          <w:headerReference w:type="default" r:id="rId10"/>
          <w:pgSz w:w="12240" w:h="15840"/>
          <w:pgMar w:top="288" w:right="720" w:bottom="288" w:left="720" w:header="720" w:footer="720" w:gutter="0"/>
          <w:cols w:space="720"/>
        </w:sectPr>
      </w:pPr>
    </w:p>
    <w:p w14:paraId="0F2F034B" w14:textId="1BBFE94F" w:rsidR="000462B1" w:rsidRPr="000462B1" w:rsidRDefault="000462B1" w:rsidP="0015362B">
      <w:pPr>
        <w:jc w:val="left"/>
        <w:rPr>
          <w:b/>
          <w:bCs/>
          <w:sz w:val="28"/>
          <w:szCs w:val="28"/>
        </w:rPr>
        <w:sectPr w:rsidR="000462B1" w:rsidRPr="000462B1" w:rsidSect="000462B1">
          <w:type w:val="continuous"/>
          <w:pgSz w:w="12240" w:h="15840"/>
          <w:pgMar w:top="288" w:right="720" w:bottom="288" w:left="720" w:header="720" w:footer="720" w:gutter="0"/>
          <w:cols w:space="720"/>
        </w:sectPr>
      </w:pPr>
      <w:r w:rsidRPr="000462B1">
        <w:rPr>
          <w:b/>
          <w:bCs/>
        </w:rPr>
        <w:t>2023 Legislative Priorities</w:t>
      </w:r>
    </w:p>
    <w:p w14:paraId="7DD91C45" w14:textId="26DB0BFF" w:rsidR="005B0C90" w:rsidRDefault="00971307" w:rsidP="007C6E8A">
      <w:pPr>
        <w:jc w:val="left"/>
        <w:rPr>
          <w:bCs/>
        </w:rPr>
      </w:pPr>
      <w:r>
        <w:rPr>
          <w:bCs/>
        </w:rPr>
        <w:t xml:space="preserve">Minnesotans pride themselves on an exceptional state in which to live. Business leaders </w:t>
      </w:r>
      <w:r w:rsidR="005440B7">
        <w:rPr>
          <w:bCs/>
        </w:rPr>
        <w:t xml:space="preserve">often share that optimism however, the data on the performance of Minnesota’s economy tells a different story. </w:t>
      </w:r>
      <w:r w:rsidR="008064F5" w:rsidRPr="005440B7">
        <w:rPr>
          <w:bCs/>
        </w:rPr>
        <w:t>Minnesota ranks in the bottom 20 states across many economic growth indicators from pre-pandemic peak to current period</w:t>
      </w:r>
      <w:r w:rsidR="001C63A1">
        <w:rPr>
          <w:bCs/>
        </w:rPr>
        <w:t xml:space="preserve">. Minnesota’s GDP growth is below </w:t>
      </w:r>
      <w:r w:rsidR="005440B7">
        <w:rPr>
          <w:bCs/>
        </w:rPr>
        <w:t>the national average. Minnesota has the worst labor force dec</w:t>
      </w:r>
      <w:r w:rsidR="001C63A1">
        <w:rPr>
          <w:bCs/>
        </w:rPr>
        <w:t>line of all Midwestern states and w</w:t>
      </w:r>
      <w:r w:rsidR="005440B7">
        <w:rPr>
          <w:bCs/>
        </w:rPr>
        <w:t>e are near the bottom of states for domestic migration, further exacerbat</w:t>
      </w:r>
      <w:r w:rsidR="001C63A1">
        <w:rPr>
          <w:bCs/>
        </w:rPr>
        <w:t>ing the workforce challenge. O</w:t>
      </w:r>
      <w:r w:rsidR="005440B7">
        <w:rPr>
          <w:bCs/>
        </w:rPr>
        <w:t>ur tax burdens – both for individuals and businesses, are among the highest in the country. This is not the formula for economic growth</w:t>
      </w:r>
      <w:r w:rsidR="00943AE6">
        <w:rPr>
          <w:bCs/>
        </w:rPr>
        <w:t xml:space="preserve">. </w:t>
      </w:r>
      <w:r w:rsidR="005440B7">
        <w:rPr>
          <w:bCs/>
        </w:rPr>
        <w:t xml:space="preserve">States across the country, </w:t>
      </w:r>
      <w:r w:rsidR="00943AE6">
        <w:rPr>
          <w:bCs/>
        </w:rPr>
        <w:t>regardless of partisan make up,</w:t>
      </w:r>
      <w:r w:rsidR="007C6E8A">
        <w:rPr>
          <w:bCs/>
        </w:rPr>
        <w:t xml:space="preserve"> </w:t>
      </w:r>
      <w:r w:rsidR="005440B7">
        <w:rPr>
          <w:bCs/>
        </w:rPr>
        <w:t>are acting aggressively to cu</w:t>
      </w:r>
      <w:r w:rsidR="007C6E8A">
        <w:rPr>
          <w:bCs/>
        </w:rPr>
        <w:t>t taxes, streamline regulations</w:t>
      </w:r>
      <w:r w:rsidR="005440B7">
        <w:rPr>
          <w:bCs/>
        </w:rPr>
        <w:t xml:space="preserve"> and attract workers</w:t>
      </w:r>
      <w:r w:rsidR="00943AE6">
        <w:rPr>
          <w:bCs/>
        </w:rPr>
        <w:t xml:space="preserve">. </w:t>
      </w:r>
    </w:p>
    <w:p w14:paraId="27C7BC3F" w14:textId="77777777" w:rsidR="005B0C90" w:rsidRPr="006224FC" w:rsidRDefault="005B0C90" w:rsidP="007C6E8A">
      <w:pPr>
        <w:jc w:val="left"/>
        <w:rPr>
          <w:bCs/>
          <w:sz w:val="18"/>
          <w:szCs w:val="18"/>
        </w:rPr>
      </w:pPr>
    </w:p>
    <w:p w14:paraId="4CA0A5B3" w14:textId="73D9C3F9" w:rsidR="005B0C90" w:rsidRDefault="005B0C90" w:rsidP="007C6E8A">
      <w:pPr>
        <w:jc w:val="left"/>
        <w:rPr>
          <w:bCs/>
        </w:rPr>
      </w:pPr>
      <w:r>
        <w:rPr>
          <w:bCs/>
        </w:rPr>
        <w:t xml:space="preserve">Legislative leadership will advocate for raising revenue and greater spending, despite a </w:t>
      </w:r>
      <w:r w:rsidR="00943AE6">
        <w:rPr>
          <w:bCs/>
        </w:rPr>
        <w:t xml:space="preserve">historically high state budget </w:t>
      </w:r>
      <w:r>
        <w:rPr>
          <w:bCs/>
        </w:rPr>
        <w:t>surplus. There will</w:t>
      </w:r>
      <w:r w:rsidR="001A7D66">
        <w:rPr>
          <w:bCs/>
        </w:rPr>
        <w:t xml:space="preserve"> be costly </w:t>
      </w:r>
      <w:r w:rsidR="00943AE6">
        <w:rPr>
          <w:bCs/>
        </w:rPr>
        <w:t xml:space="preserve">new </w:t>
      </w:r>
      <w:r w:rsidR="001A7D66">
        <w:rPr>
          <w:bCs/>
        </w:rPr>
        <w:t>energy proposals, state mandated paid leave and the legalization of recreational marijuana.</w:t>
      </w:r>
      <w:r w:rsidR="00CB1AEA">
        <w:rPr>
          <w:bCs/>
        </w:rPr>
        <w:t xml:space="preserve"> The </w:t>
      </w:r>
      <w:r w:rsidR="007C6E8A">
        <w:rPr>
          <w:bCs/>
        </w:rPr>
        <w:t xml:space="preserve">Chamber Federation must </w:t>
      </w:r>
      <w:r w:rsidR="00CB1AEA">
        <w:rPr>
          <w:bCs/>
        </w:rPr>
        <w:t xml:space="preserve">defend </w:t>
      </w:r>
      <w:r w:rsidR="00943AE6">
        <w:rPr>
          <w:bCs/>
        </w:rPr>
        <w:t xml:space="preserve">Minnesota employers </w:t>
      </w:r>
      <w:r w:rsidR="00CB1AEA">
        <w:rPr>
          <w:bCs/>
        </w:rPr>
        <w:t xml:space="preserve">from onerous proposals that make </w:t>
      </w:r>
      <w:r w:rsidR="00943AE6">
        <w:rPr>
          <w:bCs/>
        </w:rPr>
        <w:t xml:space="preserve">our state </w:t>
      </w:r>
      <w:r w:rsidR="00CB1AEA">
        <w:rPr>
          <w:bCs/>
        </w:rPr>
        <w:t xml:space="preserve">even more uncompetitive in the </w:t>
      </w:r>
      <w:r w:rsidR="00943AE6">
        <w:rPr>
          <w:bCs/>
        </w:rPr>
        <w:t xml:space="preserve">national and </w:t>
      </w:r>
      <w:r w:rsidR="00CB1AEA">
        <w:rPr>
          <w:bCs/>
        </w:rPr>
        <w:t xml:space="preserve">global market. </w:t>
      </w:r>
    </w:p>
    <w:p w14:paraId="3DEC3E79" w14:textId="77777777" w:rsidR="005B0C90" w:rsidRPr="006224FC" w:rsidRDefault="005B0C90" w:rsidP="007C6E8A">
      <w:pPr>
        <w:jc w:val="left"/>
        <w:rPr>
          <w:bCs/>
          <w:sz w:val="18"/>
          <w:szCs w:val="18"/>
        </w:rPr>
      </w:pPr>
    </w:p>
    <w:p w14:paraId="22CE44D7" w14:textId="5D0CAEE0" w:rsidR="00D56847" w:rsidRDefault="005440B7" w:rsidP="007C6E8A">
      <w:pPr>
        <w:jc w:val="left"/>
        <w:rPr>
          <w:bCs/>
        </w:rPr>
      </w:pPr>
      <w:r>
        <w:rPr>
          <w:bCs/>
        </w:rPr>
        <w:t xml:space="preserve">It is imperative that the Minnesota Chamber Federation make growing our economy </w:t>
      </w:r>
      <w:r w:rsidR="008E1F09">
        <w:rPr>
          <w:bCs/>
        </w:rPr>
        <w:t>the</w:t>
      </w:r>
      <w:r w:rsidR="00943AE6">
        <w:rPr>
          <w:bCs/>
        </w:rPr>
        <w:t xml:space="preserve"> call to action for the 2023 legislative session. </w:t>
      </w:r>
      <w:r>
        <w:rPr>
          <w:bCs/>
        </w:rPr>
        <w:t xml:space="preserve">We must defend against policies that will further weaken the private sector economy and advance pro-growth policies so that all Minnesotans have the opportunity to </w:t>
      </w:r>
      <w:r w:rsidR="00943AE6">
        <w:rPr>
          <w:bCs/>
        </w:rPr>
        <w:t xml:space="preserve">have a good job </w:t>
      </w:r>
      <w:r>
        <w:rPr>
          <w:bCs/>
        </w:rPr>
        <w:t>or start a business. It is essential to</w:t>
      </w:r>
      <w:r w:rsidR="00D56847">
        <w:rPr>
          <w:bCs/>
        </w:rPr>
        <w:t xml:space="preserve"> mitigate proposals that harm the economy, impede the free mar</w:t>
      </w:r>
      <w:r w:rsidR="001C63A1">
        <w:rPr>
          <w:bCs/>
        </w:rPr>
        <w:t>ket and stifle economic growth while advancing those that will help grow Minnesota’s economy.</w:t>
      </w:r>
    </w:p>
    <w:p w14:paraId="06D737D5" w14:textId="77777777" w:rsidR="001C63A1" w:rsidRDefault="001C63A1" w:rsidP="007C6E8A">
      <w:pPr>
        <w:jc w:val="left"/>
        <w:rPr>
          <w:bCs/>
        </w:rPr>
      </w:pPr>
    </w:p>
    <w:p w14:paraId="5E33A7BF" w14:textId="3BEC391C" w:rsidR="00D56847" w:rsidRPr="00AB6B38" w:rsidRDefault="00AB6B38" w:rsidP="007C6E8A">
      <w:pPr>
        <w:jc w:val="left"/>
        <w:rPr>
          <w:b/>
          <w:bCs/>
        </w:rPr>
      </w:pPr>
      <w:r>
        <w:rPr>
          <w:b/>
          <w:bCs/>
        </w:rPr>
        <w:t>Advance tax reform</w:t>
      </w:r>
    </w:p>
    <w:p w14:paraId="7EB73AB3" w14:textId="46FF5443" w:rsidR="00D56847" w:rsidRPr="00D56847" w:rsidRDefault="00D56847" w:rsidP="007C6E8A">
      <w:pPr>
        <w:jc w:val="left"/>
        <w:rPr>
          <w:bCs/>
        </w:rPr>
      </w:pPr>
      <w:r w:rsidRPr="00D56847">
        <w:rPr>
          <w:bCs/>
        </w:rPr>
        <w:t>Minnesota’s high tax burdens continue to rank as one of the to</w:t>
      </w:r>
      <w:r w:rsidR="001C63A1">
        <w:rPr>
          <w:bCs/>
        </w:rPr>
        <w:t>p barriers to economic growth.</w:t>
      </w:r>
      <w:r w:rsidRPr="00D56847">
        <w:rPr>
          <w:bCs/>
        </w:rPr>
        <w:t xml:space="preserve">  Minnesota businesses are required to pay taxes that are among the highest in the nation in many categories. In 2021 and 2022, twenty seven other states enacted significant tax reductions in order to make their states more attract</w:t>
      </w:r>
      <w:r w:rsidR="007C6E8A">
        <w:rPr>
          <w:bCs/>
        </w:rPr>
        <w:t xml:space="preserve">ive for investment and talent. </w:t>
      </w:r>
      <w:r w:rsidRPr="00D56847">
        <w:rPr>
          <w:bCs/>
        </w:rPr>
        <w:t>In today’s world of global competition and increased ability to work remotely, tax burdens and related costs matter more than ever before. High taxes negatively impact innovation, entrepreneurial activities, talent recruiting and investment decisions – the very catalysts needed to foster economic change and growth.</w:t>
      </w:r>
      <w:r w:rsidR="00AB6B38">
        <w:rPr>
          <w:bCs/>
        </w:rPr>
        <w:t xml:space="preserve"> Our priorities for 2023 include reducing Minnesota’s individual and corporate income tax rate to get out of the top ten highest in the country. We also support business property tax relief, enhancements to the research and development tax credit, angel investment tax credit and conforming to the federal estate tax threshold.</w:t>
      </w:r>
    </w:p>
    <w:p w14:paraId="222393B0" w14:textId="4A9D9E11" w:rsidR="00D56847" w:rsidRPr="00D56847" w:rsidRDefault="00D56847" w:rsidP="007C6E8A">
      <w:pPr>
        <w:jc w:val="left"/>
        <w:rPr>
          <w:bCs/>
        </w:rPr>
      </w:pPr>
    </w:p>
    <w:p w14:paraId="49E57D1C" w14:textId="5CAF6E54" w:rsidR="00D56847" w:rsidRDefault="00AB6B38" w:rsidP="007C6E8A">
      <w:pPr>
        <w:jc w:val="left"/>
        <w:rPr>
          <w:b/>
          <w:bCs/>
        </w:rPr>
      </w:pPr>
      <w:r>
        <w:rPr>
          <w:b/>
          <w:bCs/>
        </w:rPr>
        <w:t>Create a 21</w:t>
      </w:r>
      <w:r w:rsidRPr="00AB6B38">
        <w:rPr>
          <w:b/>
          <w:bCs/>
          <w:vertAlign w:val="superscript"/>
        </w:rPr>
        <w:t>st</w:t>
      </w:r>
      <w:r>
        <w:rPr>
          <w:b/>
          <w:bCs/>
        </w:rPr>
        <w:t xml:space="preserve"> century workforce</w:t>
      </w:r>
    </w:p>
    <w:p w14:paraId="03FD8187" w14:textId="689E986E" w:rsidR="00D56847" w:rsidRPr="00D56847" w:rsidRDefault="00D56847" w:rsidP="007C6E8A">
      <w:pPr>
        <w:jc w:val="left"/>
        <w:rPr>
          <w:bCs/>
        </w:rPr>
      </w:pPr>
      <w:r w:rsidRPr="00D56847">
        <w:rPr>
          <w:bCs/>
        </w:rPr>
        <w:t>Simply put, Minnesota needs to leverage Minnesotans to grow the workforce and help individuals develop the skills they need to succeed in a twenty-first-century economy. But there is no simple</w:t>
      </w:r>
      <w:r w:rsidR="007C6E8A">
        <w:rPr>
          <w:bCs/>
        </w:rPr>
        <w:t xml:space="preserve"> </w:t>
      </w:r>
      <w:r w:rsidRPr="00D56847">
        <w:rPr>
          <w:bCs/>
        </w:rPr>
        <w:t>solution to this problem – workforce availability is driven by a number of other barriers that encompass demographics, education and training preparedness and misalignment, child care availability, high tax burdens on individuals and employers, and other affordability chal</w:t>
      </w:r>
      <w:r w:rsidR="007C6E8A">
        <w:rPr>
          <w:bCs/>
        </w:rPr>
        <w:t xml:space="preserve">lenges. </w:t>
      </w:r>
      <w:r w:rsidRPr="00D56847">
        <w:rPr>
          <w:bCs/>
        </w:rPr>
        <w:t xml:space="preserve">By mitigating these barriers, the state and its partners can ensure no one is left on the economic sidelines.  </w:t>
      </w:r>
    </w:p>
    <w:p w14:paraId="2F5ED02A" w14:textId="77777777" w:rsidR="00D56847" w:rsidRPr="00D56847" w:rsidRDefault="00D56847" w:rsidP="007C6E8A">
      <w:pPr>
        <w:jc w:val="left"/>
        <w:rPr>
          <w:bCs/>
        </w:rPr>
      </w:pPr>
    </w:p>
    <w:p w14:paraId="6364B6F8" w14:textId="5D499EDA" w:rsidR="00D56847" w:rsidRPr="00D56847" w:rsidRDefault="00D56847" w:rsidP="007C6E8A">
      <w:pPr>
        <w:jc w:val="left"/>
        <w:rPr>
          <w:bCs/>
        </w:rPr>
      </w:pPr>
      <w:r w:rsidRPr="00D56847">
        <w:rPr>
          <w:bCs/>
        </w:rPr>
        <w:t xml:space="preserve">Minnesota’s workforce challenge is both immediate and long-term, requiring strong alignment between education </w:t>
      </w:r>
      <w:r w:rsidR="008E1F09">
        <w:rPr>
          <w:bCs/>
        </w:rPr>
        <w:t>systems, workforce programs,</w:t>
      </w:r>
      <w:r w:rsidRPr="00D56847">
        <w:rPr>
          <w:bCs/>
        </w:rPr>
        <w:t xml:space="preserve"> the needs of employers and the state’s economy. The system as a whole must closely track and adapt to changes in the labo</w:t>
      </w:r>
      <w:r w:rsidR="007C6E8A">
        <w:rPr>
          <w:bCs/>
        </w:rPr>
        <w:t xml:space="preserve">r market and workforce needs. </w:t>
      </w:r>
      <w:r w:rsidRPr="00D56847">
        <w:rPr>
          <w:bCs/>
        </w:rPr>
        <w:t xml:space="preserve">A more nimble and responsive workforce system should have the ability to provide shorter-term pathways to certificates or degrees in areas of greatest demand and promote the longer-term development of core skills and competencies. </w:t>
      </w:r>
      <w:r w:rsidR="00AB6B38">
        <w:rPr>
          <w:bCs/>
        </w:rPr>
        <w:t xml:space="preserve">The first step is to assess the state’s current workforce initiatives. </w:t>
      </w:r>
      <w:r w:rsidR="008064F5">
        <w:rPr>
          <w:bCs/>
        </w:rPr>
        <w:t>In the near term, w</w:t>
      </w:r>
      <w:r w:rsidR="00AB6B38">
        <w:rPr>
          <w:bCs/>
        </w:rPr>
        <w:t xml:space="preserve">e recommend an audit of all state workforce spending, programs, councils and boards to assess their performance and return on investment. The state should accelerate certification and training in high demand industries and streamline licensing and certification to reduce barriers and speed entry to jobs in short supply. And we must turn the tide on declining student proficiency rates and ensure students achieve key academic milestones. </w:t>
      </w:r>
    </w:p>
    <w:p w14:paraId="29CC2E86" w14:textId="77777777" w:rsidR="00D56847" w:rsidRPr="00356D82" w:rsidRDefault="00D56847" w:rsidP="007C6E8A">
      <w:pPr>
        <w:jc w:val="left"/>
        <w:rPr>
          <w:b/>
          <w:bCs/>
          <w:sz w:val="12"/>
          <w:szCs w:val="12"/>
        </w:rPr>
      </w:pPr>
    </w:p>
    <w:p w14:paraId="192189C6" w14:textId="5128848D" w:rsidR="00D56847" w:rsidRPr="0015362B" w:rsidRDefault="00D56847" w:rsidP="007C6E8A">
      <w:pPr>
        <w:jc w:val="left"/>
        <w:rPr>
          <w:b/>
          <w:bCs/>
          <w:sz w:val="20"/>
          <w:szCs w:val="20"/>
        </w:rPr>
      </w:pPr>
    </w:p>
    <w:p w14:paraId="36AF2229" w14:textId="43A240B6" w:rsidR="00D56847" w:rsidRPr="001C63A1" w:rsidRDefault="001C63A1" w:rsidP="007C6E8A">
      <w:pPr>
        <w:jc w:val="left"/>
        <w:rPr>
          <w:b/>
          <w:bCs/>
        </w:rPr>
      </w:pPr>
      <w:r>
        <w:rPr>
          <w:b/>
          <w:bCs/>
        </w:rPr>
        <w:lastRenderedPageBreak/>
        <w:t>Advance a permitting system that welcomes investment while safeguarding the environment</w:t>
      </w:r>
    </w:p>
    <w:p w14:paraId="257EBF4D" w14:textId="0DE1DFC6" w:rsidR="001C63A1" w:rsidRPr="001C63A1" w:rsidRDefault="00D56847" w:rsidP="007C6E8A">
      <w:pPr>
        <w:jc w:val="left"/>
      </w:pPr>
      <w:r w:rsidRPr="001C63A1">
        <w:t>We support sensible environmental regulations that will allow Minnesota to maintain a clean environment and a healthy busine</w:t>
      </w:r>
      <w:r w:rsidR="001C63A1" w:rsidRPr="001C63A1">
        <w:t xml:space="preserve">ss climate, while fostering </w:t>
      </w:r>
      <w:r w:rsidRPr="001C63A1">
        <w:t>statewide</w:t>
      </w:r>
      <w:r w:rsidR="001C63A1" w:rsidRPr="001C63A1">
        <w:t xml:space="preserve"> economic </w:t>
      </w:r>
      <w:r w:rsidRPr="001C63A1">
        <w:t>benefit and job</w:t>
      </w:r>
      <w:r w:rsidR="001C63A1" w:rsidRPr="001C63A1">
        <w:t xml:space="preserve"> growth. </w:t>
      </w:r>
      <w:r w:rsidRPr="001C63A1">
        <w:t>The state must remove barriers that make Minnesota less competitive than neighboring or regional states for attracting industrial</w:t>
      </w:r>
      <w:r w:rsidR="007C6E8A">
        <w:t xml:space="preserve"> and manufacturing businesses. </w:t>
      </w:r>
      <w:r w:rsidRPr="001C63A1">
        <w:t>To this end</w:t>
      </w:r>
      <w:r w:rsidR="001C63A1" w:rsidRPr="001C63A1">
        <w:t>, regulatory systems</w:t>
      </w:r>
      <w:r w:rsidRPr="001C63A1">
        <w:t xml:space="preserve"> should be structured and operated so there is a defined process and timeline for com</w:t>
      </w:r>
      <w:r w:rsidR="001C63A1" w:rsidRPr="001C63A1">
        <w:t>pletion of environmental review</w:t>
      </w:r>
      <w:r w:rsidRPr="001C63A1">
        <w:t xml:space="preserve"> and permits. </w:t>
      </w:r>
      <w:r w:rsidR="001C63A1">
        <w:t xml:space="preserve">This is critical </w:t>
      </w:r>
      <w:r w:rsidRPr="001C63A1">
        <w:t>to make timely business decisions about proposed projects and expansions. In most circumstances, reviews and permits should be completed and issued within months, not years. Minnesota’s regulatory program should strive to be among the premier permitting systems in the nation – quickly and efficiently completing the rigorous process to ensure environmental protection, while facilitating economic development. Similarly, any state-based legislative or regulatory action should drive economic competitiveness and environmental s</w:t>
      </w:r>
      <w:r w:rsidR="001C63A1" w:rsidRPr="001C63A1">
        <w:t xml:space="preserve">ustainability through </w:t>
      </w:r>
      <w:r w:rsidRPr="001C63A1">
        <w:t>processes that are not duplicative or</w:t>
      </w:r>
      <w:r w:rsidR="001C63A1" w:rsidRPr="001C63A1">
        <w:t xml:space="preserve"> redundant with other programs. </w:t>
      </w:r>
      <w:r w:rsidR="007C6E8A">
        <w:t>Market-</w:t>
      </w:r>
      <w:r w:rsidRPr="001C63A1">
        <w:t>based mechanisms, where appropriate, should be considered when they are both protective of the environment and cost effective for businesses in a globally competitive market.</w:t>
      </w:r>
      <w:r w:rsidR="001C63A1" w:rsidRPr="001C63A1">
        <w:t xml:space="preserve"> </w:t>
      </w:r>
      <w:r w:rsidR="001C63A1">
        <w:t>We can achieve these goals by increasing efficiency and streamlining</w:t>
      </w:r>
      <w:r w:rsidR="001C63A1" w:rsidRPr="001C63A1">
        <w:t xml:space="preserve"> the environmental review and permitting process.</w:t>
      </w:r>
      <w:r w:rsidR="001C63A1">
        <w:t xml:space="preserve"> The state must also en</w:t>
      </w:r>
      <w:r w:rsidR="001C63A1" w:rsidRPr="001C63A1">
        <w:t>gage communication and coordination among state agencies.</w:t>
      </w:r>
      <w:r w:rsidR="001C63A1">
        <w:t xml:space="preserve"> In addition, abiding by federal statutes and rules would </w:t>
      </w:r>
      <w:r w:rsidR="001C63A1" w:rsidRPr="001C63A1">
        <w:t>avoid state by state patchwork of requirements.</w:t>
      </w:r>
    </w:p>
    <w:p w14:paraId="7957B57B" w14:textId="26790C71" w:rsidR="00267902" w:rsidRPr="006224FC" w:rsidRDefault="00267902" w:rsidP="007C6E8A">
      <w:pPr>
        <w:jc w:val="left"/>
        <w:rPr>
          <w:sz w:val="16"/>
          <w:szCs w:val="16"/>
        </w:rPr>
      </w:pPr>
    </w:p>
    <w:p w14:paraId="0CDF171B" w14:textId="1D1270FA" w:rsidR="00CB1AEA" w:rsidRDefault="00CB1AEA" w:rsidP="007C6E8A">
      <w:pPr>
        <w:jc w:val="left"/>
        <w:rPr>
          <w:b/>
        </w:rPr>
      </w:pPr>
      <w:r>
        <w:rPr>
          <w:b/>
        </w:rPr>
        <w:t>Advance affordability</w:t>
      </w:r>
    </w:p>
    <w:p w14:paraId="31E89A2B" w14:textId="738B1140" w:rsidR="000462B1" w:rsidRDefault="00CB1AEA" w:rsidP="007C6E8A">
      <w:pPr>
        <w:jc w:val="left"/>
      </w:pPr>
      <w:r>
        <w:t xml:space="preserve">We need to ensure that affordability is an asset of Minnesota’s economy. Housing costs are far more affordable than the coastal markets, which is a competitive position we need to strengthen. Child care spots are nearly impossible to find in many greater Minnesota communities, and rising costs paired with market that seemingly cannot function without subsidies is significant challenge and workforce barrier.  An unprecedented amount of revenue has been invested in border to border connectivity. We must work to ensure the investment is cost effective, and achieves the goal of access to nearly all Minnesotans. </w:t>
      </w:r>
      <w:r w:rsidR="00943AE6">
        <w:t xml:space="preserve">Our energy costs and rates are no longer as </w:t>
      </w:r>
      <w:r>
        <w:t xml:space="preserve">competitive </w:t>
      </w:r>
      <w:r w:rsidR="00943AE6">
        <w:t xml:space="preserve">as they once were, </w:t>
      </w:r>
      <w:r w:rsidR="00D45602">
        <w:t>particularly impacting manufacturing. A</w:t>
      </w:r>
      <w:r>
        <w:t xml:space="preserve">s we transition to </w:t>
      </w:r>
      <w:r w:rsidR="00D45602">
        <w:t>cleaner</w:t>
      </w:r>
      <w:r>
        <w:t xml:space="preserve"> energy</w:t>
      </w:r>
      <w:r w:rsidR="007C6E8A">
        <w:t xml:space="preserve"> </w:t>
      </w:r>
      <w:r w:rsidR="00D45602">
        <w:t xml:space="preserve">sources, we must balance affordability and reliability. </w:t>
      </w:r>
      <w:r>
        <w:t xml:space="preserve">We will work with the 2023 Legislature to advance affordability, and find compromise and promising solutions to the affordability factors of our economy, including housing, child care, broadband and energy. </w:t>
      </w:r>
    </w:p>
    <w:p w14:paraId="180BDC79" w14:textId="1A15DD9C" w:rsidR="000462B1" w:rsidRPr="006224FC" w:rsidRDefault="000462B1" w:rsidP="007C6E8A">
      <w:pPr>
        <w:jc w:val="left"/>
        <w:rPr>
          <w:sz w:val="16"/>
          <w:szCs w:val="16"/>
        </w:rPr>
      </w:pPr>
    </w:p>
    <w:p w14:paraId="53E3605E" w14:textId="2B1174AC" w:rsidR="000462B1" w:rsidRPr="006224FC" w:rsidRDefault="000462B1" w:rsidP="000462B1">
      <w:pPr>
        <w:jc w:val="center"/>
        <w:rPr>
          <w:b/>
        </w:rPr>
      </w:pPr>
      <w:r w:rsidRPr="006224FC">
        <w:rPr>
          <w:b/>
        </w:rPr>
        <w:t>2023 Partners</w:t>
      </w:r>
    </w:p>
    <w:p w14:paraId="57B5B39D" w14:textId="70B872A9" w:rsidR="000462B1" w:rsidRPr="0015362B" w:rsidRDefault="000462B1" w:rsidP="000462B1">
      <w:pPr>
        <w:jc w:val="center"/>
        <w:rPr>
          <w:b/>
          <w:sz w:val="4"/>
          <w:szCs w:val="4"/>
        </w:rPr>
      </w:pPr>
    </w:p>
    <w:p w14:paraId="6F13BB6C" w14:textId="77777777" w:rsidR="000462B1" w:rsidRPr="0015362B" w:rsidRDefault="000462B1" w:rsidP="000462B1">
      <w:pPr>
        <w:jc w:val="center"/>
        <w:rPr>
          <w:b/>
          <w:sz w:val="8"/>
          <w:szCs w:val="8"/>
        </w:rPr>
        <w:sectPr w:rsidR="000462B1" w:rsidRPr="0015362B" w:rsidSect="006224FC">
          <w:type w:val="continuous"/>
          <w:pgSz w:w="12240" w:h="15840"/>
          <w:pgMar w:top="1008" w:right="720" w:bottom="576" w:left="720" w:header="720" w:footer="720" w:gutter="0"/>
          <w:cols w:space="720"/>
        </w:sectPr>
      </w:pPr>
    </w:p>
    <w:p w14:paraId="1D9FA6ED" w14:textId="13811FFE" w:rsidR="000462B1" w:rsidRPr="006224FC" w:rsidRDefault="000462B1" w:rsidP="000462B1">
      <w:pPr>
        <w:jc w:val="left"/>
        <w:rPr>
          <w:rFonts w:ascii="Calibri" w:eastAsia="Calibri" w:hAnsi="Calibri" w:cs="Times New Roman"/>
          <w:b/>
          <w:sz w:val="18"/>
          <w:szCs w:val="18"/>
        </w:rPr>
      </w:pPr>
      <w:r w:rsidRPr="006224FC">
        <w:rPr>
          <w:rFonts w:ascii="Calibri" w:eastAsia="Calibri" w:hAnsi="Calibri" w:cs="Times New Roman"/>
          <w:sz w:val="18"/>
          <w:szCs w:val="18"/>
        </w:rPr>
        <w:t>Albert Lea Freeborn County Chamber of Commerce</w:t>
      </w:r>
    </w:p>
    <w:p w14:paraId="10D38E1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Alexandria Lakes Area Chamber of Commerce</w:t>
      </w:r>
    </w:p>
    <w:p w14:paraId="1EFFDB55"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Anoka Area Chamber of Commerce</w:t>
      </w:r>
    </w:p>
    <w:p w14:paraId="588E1BD4"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Apple Valley Chamber of Commerce </w:t>
      </w:r>
    </w:p>
    <w:p w14:paraId="5ECE6696"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Austin Area Chamber of Commerce </w:t>
      </w:r>
    </w:p>
    <w:p w14:paraId="2F4268C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Bemidji Chamber of Commerce</w:t>
      </w:r>
    </w:p>
    <w:p w14:paraId="21BA5D6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Brainerd Lakes Chamber</w:t>
      </w:r>
    </w:p>
    <w:p w14:paraId="059F153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Burnsville Chamber of Commerce </w:t>
      </w:r>
    </w:p>
    <w:p w14:paraId="42FD80B3"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Cloquet Chamber of Commerce</w:t>
      </w:r>
    </w:p>
    <w:p w14:paraId="123F22D4"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Cuyuna Lakes Chamber of Commerce</w:t>
      </w:r>
    </w:p>
    <w:p w14:paraId="1B27E3A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Dakota County Regional Chamber of Commerce</w:t>
      </w:r>
    </w:p>
    <w:p w14:paraId="64553FD4"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Duluth Area Chamber of Commerce</w:t>
      </w:r>
    </w:p>
    <w:p w14:paraId="357E90C4"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East Grand Forks/Grand Forks Chamber of Commerce</w:t>
      </w:r>
    </w:p>
    <w:p w14:paraId="5384867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Eden Prairie Chamber of Commerce </w:t>
      </w:r>
    </w:p>
    <w:p w14:paraId="1E288111"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Elk River Area Chamber of Commerce</w:t>
      </w:r>
    </w:p>
    <w:p w14:paraId="12EC353B"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Fargo Moorhead West Fargo Chamber of Commerce</w:t>
      </w:r>
    </w:p>
    <w:p w14:paraId="0AC2D9ED"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Faribault Area Chamber of Commerce &amp; Tourism  </w:t>
      </w:r>
    </w:p>
    <w:p w14:paraId="702F0321"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Fergus Falls Area Chamber of Commerce</w:t>
      </w:r>
    </w:p>
    <w:p w14:paraId="5698055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Glenwood Lakes Area Chamber of Commerce</w:t>
      </w:r>
    </w:p>
    <w:p w14:paraId="2112D512"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Grand Rapids Area Chamber</w:t>
      </w:r>
    </w:p>
    <w:p w14:paraId="6A84D8EC"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Greater Mankato Growth Inc. </w:t>
      </w:r>
    </w:p>
    <w:p w14:paraId="0582B738"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Greater Stillwater Chamber of Commerce</w:t>
      </w:r>
    </w:p>
    <w:p w14:paraId="02BB9EE3"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Hastings Area Chamber of Commerce &amp; Tourism Bureau </w:t>
      </w:r>
    </w:p>
    <w:p w14:paraId="72CB1F23"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Hermantown Area Chamber of Commerce</w:t>
      </w:r>
    </w:p>
    <w:p w14:paraId="7576762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Hibbing Area Chamber of Commerce </w:t>
      </w:r>
    </w:p>
    <w:p w14:paraId="5C9FB16C"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Hutchinson Area Chamber of Commerce</w:t>
      </w:r>
    </w:p>
    <w:p w14:paraId="756674CB"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International Falls Chamber of Commerce</w:t>
      </w:r>
    </w:p>
    <w:p w14:paraId="769B738C" w14:textId="77777777" w:rsidR="000462B1" w:rsidRPr="006224FC" w:rsidRDefault="000462B1" w:rsidP="000462B1">
      <w:pPr>
        <w:jc w:val="left"/>
        <w:rPr>
          <w:rFonts w:ascii="Calibri" w:eastAsia="Calibri" w:hAnsi="Calibri" w:cs="Times New Roman"/>
          <w:color w:val="FF0000"/>
          <w:sz w:val="18"/>
          <w:szCs w:val="18"/>
        </w:rPr>
      </w:pPr>
      <w:r w:rsidRPr="006224FC">
        <w:rPr>
          <w:rFonts w:ascii="Calibri" w:eastAsia="Calibri" w:hAnsi="Calibri" w:cs="Times New Roman"/>
          <w:sz w:val="18"/>
          <w:szCs w:val="18"/>
        </w:rPr>
        <w:t>Lake County Chamber of Commerce</w:t>
      </w:r>
    </w:p>
    <w:p w14:paraId="44ACBFF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Lakeville Area Chamber of Commerce &amp; CVB</w:t>
      </w:r>
    </w:p>
    <w:p w14:paraId="324D352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Laurentian Chamber of Commerce </w:t>
      </w:r>
    </w:p>
    <w:p w14:paraId="56FE065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Litchfield Chamber of Commerce</w:t>
      </w:r>
    </w:p>
    <w:p w14:paraId="6A472A20"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Marshall Area Chamber of Commerce </w:t>
      </w:r>
    </w:p>
    <w:p w14:paraId="4727EFA2"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MetroNorth Chamber of Commerce </w:t>
      </w:r>
    </w:p>
    <w:p w14:paraId="6220E3C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New Ulm Area Chamber of Commerce</w:t>
      </w:r>
    </w:p>
    <w:p w14:paraId="22D03A64"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Northfield Area Chamber of Commerce</w:t>
      </w:r>
    </w:p>
    <w:p w14:paraId="295CDF07"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Owatonna Area Chamber of Commerce and Tourism </w:t>
      </w:r>
    </w:p>
    <w:p w14:paraId="6AE4DB12"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Pipestone Area Chamber of Commerce</w:t>
      </w:r>
    </w:p>
    <w:p w14:paraId="68B51EF9"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Redwood Falls Area Chamber of Commerce</w:t>
      </w:r>
    </w:p>
    <w:p w14:paraId="077223C8"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River Heights Chamber of Commerce </w:t>
      </w:r>
    </w:p>
    <w:p w14:paraId="40D363A8"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Rochester Area Chamber of Commerce</w:t>
      </w:r>
    </w:p>
    <w:p w14:paraId="08A3001F"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Saint Cloud Area Chamber of Commerce</w:t>
      </w:r>
    </w:p>
    <w:p w14:paraId="704861CD"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Shakopee Area Chamber</w:t>
      </w:r>
    </w:p>
    <w:p w14:paraId="23DCECB0"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Southwest Metro Chamber of Commerce</w:t>
      </w:r>
    </w:p>
    <w:p w14:paraId="6D70CF1C"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Twin Cities North Chamber of Commerce                        </w:t>
      </w:r>
    </w:p>
    <w:p w14:paraId="1BC667B3"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Waconia Chamber of Commerce</w:t>
      </w:r>
    </w:p>
    <w:p w14:paraId="258501B1"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Waseca Chamber of Commerce</w:t>
      </w:r>
    </w:p>
    <w:p w14:paraId="7A9E9799"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White Bear Area Chamber of Commerce</w:t>
      </w:r>
    </w:p>
    <w:p w14:paraId="312AC08B"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Willmar Lakes Area Chamber of Commerce</w:t>
      </w:r>
    </w:p>
    <w:p w14:paraId="502966FE"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 xml:space="preserve">Winona Area Chamber of Commerce </w:t>
      </w:r>
    </w:p>
    <w:p w14:paraId="5F60F796" w14:textId="77777777" w:rsidR="000462B1" w:rsidRPr="006224FC" w:rsidRDefault="000462B1" w:rsidP="000462B1">
      <w:pPr>
        <w:jc w:val="left"/>
        <w:rPr>
          <w:rFonts w:ascii="Calibri" w:eastAsia="Calibri" w:hAnsi="Calibri" w:cs="Times New Roman"/>
          <w:sz w:val="18"/>
          <w:szCs w:val="18"/>
        </w:rPr>
      </w:pPr>
      <w:r w:rsidRPr="006224FC">
        <w:rPr>
          <w:rFonts w:ascii="Calibri" w:eastAsia="Calibri" w:hAnsi="Calibri" w:cs="Times New Roman"/>
          <w:sz w:val="18"/>
          <w:szCs w:val="18"/>
        </w:rPr>
        <w:t>Woodbury Area Chamber of Commerce</w:t>
      </w:r>
    </w:p>
    <w:p w14:paraId="3E93F84D" w14:textId="3349EBB9" w:rsidR="000462B1" w:rsidRPr="006224FC" w:rsidRDefault="000462B1" w:rsidP="000462B1">
      <w:pPr>
        <w:jc w:val="left"/>
        <w:rPr>
          <w:rFonts w:ascii="Calibri" w:eastAsia="Calibri" w:hAnsi="Calibri" w:cs="Times New Roman"/>
          <w:sz w:val="18"/>
          <w:szCs w:val="18"/>
        </w:rPr>
        <w:sectPr w:rsidR="000462B1" w:rsidRPr="006224FC" w:rsidSect="000462B1">
          <w:type w:val="continuous"/>
          <w:pgSz w:w="12240" w:h="15840"/>
          <w:pgMar w:top="288" w:right="720" w:bottom="288" w:left="720" w:header="720" w:footer="720" w:gutter="0"/>
          <w:cols w:num="2" w:space="720"/>
        </w:sectPr>
      </w:pPr>
      <w:r w:rsidRPr="006224FC">
        <w:rPr>
          <w:rFonts w:ascii="Calibri" w:eastAsia="Calibri" w:hAnsi="Calibri" w:cs="Times New Roman"/>
          <w:sz w:val="18"/>
          <w:szCs w:val="18"/>
        </w:rPr>
        <w:t>Worthington Ar</w:t>
      </w:r>
      <w:r w:rsidR="008E1F09" w:rsidRPr="006224FC">
        <w:rPr>
          <w:rFonts w:ascii="Calibri" w:eastAsia="Calibri" w:hAnsi="Calibri" w:cs="Times New Roman"/>
          <w:sz w:val="18"/>
          <w:szCs w:val="18"/>
        </w:rPr>
        <w:t>ea Chamber of Commerce</w:t>
      </w:r>
    </w:p>
    <w:p w14:paraId="6A673A5F" w14:textId="222DCCB1" w:rsidR="000462B1" w:rsidRPr="0015362B" w:rsidRDefault="000462B1" w:rsidP="008E1F09">
      <w:pPr>
        <w:jc w:val="left"/>
        <w:rPr>
          <w:sz w:val="4"/>
          <w:szCs w:val="4"/>
        </w:rPr>
      </w:pPr>
    </w:p>
    <w:sectPr w:rsidR="000462B1" w:rsidRPr="0015362B" w:rsidSect="000462B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9B8B" w14:textId="77777777" w:rsidR="0015362B" w:rsidRDefault="0015362B" w:rsidP="0015362B">
      <w:r>
        <w:separator/>
      </w:r>
    </w:p>
  </w:endnote>
  <w:endnote w:type="continuationSeparator" w:id="0">
    <w:p w14:paraId="586A13BC" w14:textId="77777777" w:rsidR="0015362B" w:rsidRDefault="0015362B" w:rsidP="001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1186" w14:textId="77777777" w:rsidR="0015362B" w:rsidRDefault="0015362B" w:rsidP="0015362B">
      <w:r>
        <w:separator/>
      </w:r>
    </w:p>
  </w:footnote>
  <w:footnote w:type="continuationSeparator" w:id="0">
    <w:p w14:paraId="17EC5A82" w14:textId="77777777" w:rsidR="0015362B" w:rsidRDefault="0015362B" w:rsidP="0015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A313" w14:textId="1C4C2356" w:rsidR="0015362B" w:rsidRDefault="0015362B" w:rsidP="0015362B">
    <w:pPr>
      <w:pStyle w:val="Header"/>
      <w:jc w:val="center"/>
    </w:pPr>
    <w:r>
      <w:rPr>
        <w:noProof/>
      </w:rPr>
      <w:drawing>
        <wp:inline distT="0" distB="0" distL="0" distR="0" wp14:anchorId="3B03658B" wp14:editId="0C5B54D9">
          <wp:extent cx="3200400" cy="635635"/>
          <wp:effectExtent l="0" t="0" r="0" b="0"/>
          <wp:docPr id="1" name="Picture 1" descr="\\mccexch01\wpshare\Brand\Federation\MCC_Federation.jpg"/>
          <wp:cNvGraphicFramePr/>
          <a:graphic xmlns:a="http://schemas.openxmlformats.org/drawingml/2006/main">
            <a:graphicData uri="http://schemas.openxmlformats.org/drawingml/2006/picture">
              <pic:pic xmlns:pic="http://schemas.openxmlformats.org/drawingml/2006/picture">
                <pic:nvPicPr>
                  <pic:cNvPr id="2" name="Picture 2" descr="\\mccexch01\wpshare\Brand\Federation\MCC_Federati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7FD"/>
    <w:multiLevelType w:val="hybridMultilevel"/>
    <w:tmpl w:val="9A7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35BE"/>
    <w:multiLevelType w:val="hybridMultilevel"/>
    <w:tmpl w:val="F99EE8D2"/>
    <w:lvl w:ilvl="0" w:tplc="4FE8FD00">
      <w:start w:val="1"/>
      <w:numFmt w:val="bullet"/>
      <w:lvlText w:val=""/>
      <w:lvlJc w:val="left"/>
      <w:pPr>
        <w:tabs>
          <w:tab w:val="num" w:pos="720"/>
        </w:tabs>
        <w:ind w:left="720" w:hanging="360"/>
      </w:pPr>
      <w:rPr>
        <w:rFonts w:ascii="Wingdings" w:hAnsi="Wingdings" w:hint="default"/>
      </w:rPr>
    </w:lvl>
    <w:lvl w:ilvl="1" w:tplc="9B349916" w:tentative="1">
      <w:start w:val="1"/>
      <w:numFmt w:val="bullet"/>
      <w:lvlText w:val=""/>
      <w:lvlJc w:val="left"/>
      <w:pPr>
        <w:tabs>
          <w:tab w:val="num" w:pos="1440"/>
        </w:tabs>
        <w:ind w:left="1440" w:hanging="360"/>
      </w:pPr>
      <w:rPr>
        <w:rFonts w:ascii="Wingdings" w:hAnsi="Wingdings" w:hint="default"/>
      </w:rPr>
    </w:lvl>
    <w:lvl w:ilvl="2" w:tplc="5CBE721C" w:tentative="1">
      <w:start w:val="1"/>
      <w:numFmt w:val="bullet"/>
      <w:lvlText w:val=""/>
      <w:lvlJc w:val="left"/>
      <w:pPr>
        <w:tabs>
          <w:tab w:val="num" w:pos="2160"/>
        </w:tabs>
        <w:ind w:left="2160" w:hanging="360"/>
      </w:pPr>
      <w:rPr>
        <w:rFonts w:ascii="Wingdings" w:hAnsi="Wingdings" w:hint="default"/>
      </w:rPr>
    </w:lvl>
    <w:lvl w:ilvl="3" w:tplc="FB244D7C" w:tentative="1">
      <w:start w:val="1"/>
      <w:numFmt w:val="bullet"/>
      <w:lvlText w:val=""/>
      <w:lvlJc w:val="left"/>
      <w:pPr>
        <w:tabs>
          <w:tab w:val="num" w:pos="2880"/>
        </w:tabs>
        <w:ind w:left="2880" w:hanging="360"/>
      </w:pPr>
      <w:rPr>
        <w:rFonts w:ascii="Wingdings" w:hAnsi="Wingdings" w:hint="default"/>
      </w:rPr>
    </w:lvl>
    <w:lvl w:ilvl="4" w:tplc="058E68A8" w:tentative="1">
      <w:start w:val="1"/>
      <w:numFmt w:val="bullet"/>
      <w:lvlText w:val=""/>
      <w:lvlJc w:val="left"/>
      <w:pPr>
        <w:tabs>
          <w:tab w:val="num" w:pos="3600"/>
        </w:tabs>
        <w:ind w:left="3600" w:hanging="360"/>
      </w:pPr>
      <w:rPr>
        <w:rFonts w:ascii="Wingdings" w:hAnsi="Wingdings" w:hint="default"/>
      </w:rPr>
    </w:lvl>
    <w:lvl w:ilvl="5" w:tplc="512C6EC4" w:tentative="1">
      <w:start w:val="1"/>
      <w:numFmt w:val="bullet"/>
      <w:lvlText w:val=""/>
      <w:lvlJc w:val="left"/>
      <w:pPr>
        <w:tabs>
          <w:tab w:val="num" w:pos="4320"/>
        </w:tabs>
        <w:ind w:left="4320" w:hanging="360"/>
      </w:pPr>
      <w:rPr>
        <w:rFonts w:ascii="Wingdings" w:hAnsi="Wingdings" w:hint="default"/>
      </w:rPr>
    </w:lvl>
    <w:lvl w:ilvl="6" w:tplc="D1CC0726" w:tentative="1">
      <w:start w:val="1"/>
      <w:numFmt w:val="bullet"/>
      <w:lvlText w:val=""/>
      <w:lvlJc w:val="left"/>
      <w:pPr>
        <w:tabs>
          <w:tab w:val="num" w:pos="5040"/>
        </w:tabs>
        <w:ind w:left="5040" w:hanging="360"/>
      </w:pPr>
      <w:rPr>
        <w:rFonts w:ascii="Wingdings" w:hAnsi="Wingdings" w:hint="default"/>
      </w:rPr>
    </w:lvl>
    <w:lvl w:ilvl="7" w:tplc="853A9522" w:tentative="1">
      <w:start w:val="1"/>
      <w:numFmt w:val="bullet"/>
      <w:lvlText w:val=""/>
      <w:lvlJc w:val="left"/>
      <w:pPr>
        <w:tabs>
          <w:tab w:val="num" w:pos="5760"/>
        </w:tabs>
        <w:ind w:left="5760" w:hanging="360"/>
      </w:pPr>
      <w:rPr>
        <w:rFonts w:ascii="Wingdings" w:hAnsi="Wingdings" w:hint="default"/>
      </w:rPr>
    </w:lvl>
    <w:lvl w:ilvl="8" w:tplc="B7607D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73FE8"/>
    <w:multiLevelType w:val="hybridMultilevel"/>
    <w:tmpl w:val="D4B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56521">
    <w:abstractNumId w:val="2"/>
  </w:num>
  <w:num w:numId="2" w16cid:durableId="211892065">
    <w:abstractNumId w:val="0"/>
  </w:num>
  <w:num w:numId="3" w16cid:durableId="844828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47"/>
    <w:rsid w:val="000462B1"/>
    <w:rsid w:val="0015362B"/>
    <w:rsid w:val="001A7D66"/>
    <w:rsid w:val="001C63A1"/>
    <w:rsid w:val="00267902"/>
    <w:rsid w:val="00356D82"/>
    <w:rsid w:val="005440B7"/>
    <w:rsid w:val="005B0C90"/>
    <w:rsid w:val="006224FC"/>
    <w:rsid w:val="007C6E8A"/>
    <w:rsid w:val="008064F5"/>
    <w:rsid w:val="00837F72"/>
    <w:rsid w:val="008E1F09"/>
    <w:rsid w:val="00943AE6"/>
    <w:rsid w:val="00971307"/>
    <w:rsid w:val="00AB6B38"/>
    <w:rsid w:val="00CB1AEA"/>
    <w:rsid w:val="00D45602"/>
    <w:rsid w:val="00D56847"/>
    <w:rsid w:val="00E86FCE"/>
    <w:rsid w:val="00ED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4F91"/>
  <w15:chartTrackingRefBased/>
  <w15:docId w15:val="{268BEFB7-05BE-42C5-B6CA-3FE413F9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0B7"/>
    <w:pPr>
      <w:ind w:left="720"/>
      <w:contextualSpacing/>
    </w:pPr>
  </w:style>
  <w:style w:type="paragraph" w:styleId="Revision">
    <w:name w:val="Revision"/>
    <w:hidden/>
    <w:uiPriority w:val="99"/>
    <w:semiHidden/>
    <w:rsid w:val="00943AE6"/>
    <w:pPr>
      <w:jc w:val="left"/>
    </w:pPr>
  </w:style>
  <w:style w:type="character" w:styleId="Hyperlink">
    <w:name w:val="Hyperlink"/>
    <w:basedOn w:val="DefaultParagraphFont"/>
    <w:uiPriority w:val="99"/>
    <w:unhideWhenUsed/>
    <w:rsid w:val="000462B1"/>
    <w:rPr>
      <w:color w:val="0563C1" w:themeColor="hyperlink"/>
      <w:u w:val="single"/>
    </w:rPr>
  </w:style>
  <w:style w:type="paragraph" w:styleId="Header">
    <w:name w:val="header"/>
    <w:basedOn w:val="Normal"/>
    <w:link w:val="HeaderChar"/>
    <w:uiPriority w:val="99"/>
    <w:unhideWhenUsed/>
    <w:rsid w:val="0015362B"/>
    <w:pPr>
      <w:tabs>
        <w:tab w:val="center" w:pos="4680"/>
        <w:tab w:val="right" w:pos="9360"/>
      </w:tabs>
    </w:pPr>
  </w:style>
  <w:style w:type="character" w:customStyle="1" w:styleId="HeaderChar">
    <w:name w:val="Header Char"/>
    <w:basedOn w:val="DefaultParagraphFont"/>
    <w:link w:val="Header"/>
    <w:uiPriority w:val="99"/>
    <w:rsid w:val="0015362B"/>
  </w:style>
  <w:style w:type="paragraph" w:styleId="Footer">
    <w:name w:val="footer"/>
    <w:basedOn w:val="Normal"/>
    <w:link w:val="FooterChar"/>
    <w:uiPriority w:val="99"/>
    <w:unhideWhenUsed/>
    <w:rsid w:val="0015362B"/>
    <w:pPr>
      <w:tabs>
        <w:tab w:val="center" w:pos="4680"/>
        <w:tab w:val="right" w:pos="9360"/>
      </w:tabs>
    </w:pPr>
  </w:style>
  <w:style w:type="character" w:customStyle="1" w:styleId="FooterChar">
    <w:name w:val="Footer Char"/>
    <w:basedOn w:val="DefaultParagraphFont"/>
    <w:link w:val="Footer"/>
    <w:uiPriority w:val="99"/>
    <w:rsid w:val="0015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2544">
      <w:bodyDiv w:val="1"/>
      <w:marLeft w:val="0"/>
      <w:marRight w:val="0"/>
      <w:marTop w:val="0"/>
      <w:marBottom w:val="0"/>
      <w:divBdr>
        <w:top w:val="none" w:sz="0" w:space="0" w:color="auto"/>
        <w:left w:val="none" w:sz="0" w:space="0" w:color="auto"/>
        <w:bottom w:val="none" w:sz="0" w:space="0" w:color="auto"/>
        <w:right w:val="none" w:sz="0" w:space="0" w:color="auto"/>
      </w:divBdr>
      <w:divsChild>
        <w:div w:id="776868063">
          <w:marLeft w:val="547"/>
          <w:marRight w:val="0"/>
          <w:marTop w:val="0"/>
          <w:marBottom w:val="0"/>
          <w:divBdr>
            <w:top w:val="none" w:sz="0" w:space="0" w:color="auto"/>
            <w:left w:val="none" w:sz="0" w:space="0" w:color="auto"/>
            <w:bottom w:val="none" w:sz="0" w:space="0" w:color="auto"/>
            <w:right w:val="none" w:sz="0" w:space="0" w:color="auto"/>
          </w:divBdr>
        </w:div>
        <w:div w:id="710223885">
          <w:marLeft w:val="547"/>
          <w:marRight w:val="0"/>
          <w:marTop w:val="0"/>
          <w:marBottom w:val="0"/>
          <w:divBdr>
            <w:top w:val="none" w:sz="0" w:space="0" w:color="auto"/>
            <w:left w:val="none" w:sz="0" w:space="0" w:color="auto"/>
            <w:bottom w:val="none" w:sz="0" w:space="0" w:color="auto"/>
            <w:right w:val="none" w:sz="0" w:space="0" w:color="auto"/>
          </w:divBdr>
        </w:div>
        <w:div w:id="766383773">
          <w:marLeft w:val="547"/>
          <w:marRight w:val="0"/>
          <w:marTop w:val="0"/>
          <w:marBottom w:val="0"/>
          <w:divBdr>
            <w:top w:val="none" w:sz="0" w:space="0" w:color="auto"/>
            <w:left w:val="none" w:sz="0" w:space="0" w:color="auto"/>
            <w:bottom w:val="none" w:sz="0" w:space="0" w:color="auto"/>
            <w:right w:val="none" w:sz="0" w:space="0" w:color="auto"/>
          </w:divBdr>
        </w:div>
        <w:div w:id="1423649532">
          <w:marLeft w:val="547"/>
          <w:marRight w:val="0"/>
          <w:marTop w:val="0"/>
          <w:marBottom w:val="0"/>
          <w:divBdr>
            <w:top w:val="none" w:sz="0" w:space="0" w:color="auto"/>
            <w:left w:val="none" w:sz="0" w:space="0" w:color="auto"/>
            <w:bottom w:val="none" w:sz="0" w:space="0" w:color="auto"/>
            <w:right w:val="none" w:sz="0" w:space="0" w:color="auto"/>
          </w:divBdr>
        </w:div>
        <w:div w:id="1115054770">
          <w:marLeft w:val="547"/>
          <w:marRight w:val="0"/>
          <w:marTop w:val="0"/>
          <w:marBottom w:val="0"/>
          <w:divBdr>
            <w:top w:val="none" w:sz="0" w:space="0" w:color="auto"/>
            <w:left w:val="none" w:sz="0" w:space="0" w:color="auto"/>
            <w:bottom w:val="none" w:sz="0" w:space="0" w:color="auto"/>
            <w:right w:val="none" w:sz="0" w:space="0" w:color="auto"/>
          </w:divBdr>
        </w:div>
        <w:div w:id="928662437">
          <w:marLeft w:val="547"/>
          <w:marRight w:val="0"/>
          <w:marTop w:val="0"/>
          <w:marBottom w:val="0"/>
          <w:divBdr>
            <w:top w:val="none" w:sz="0" w:space="0" w:color="auto"/>
            <w:left w:val="none" w:sz="0" w:space="0" w:color="auto"/>
            <w:bottom w:val="none" w:sz="0" w:space="0" w:color="auto"/>
            <w:right w:val="none" w:sz="0" w:space="0" w:color="auto"/>
          </w:divBdr>
        </w:div>
      </w:divsChild>
    </w:div>
    <w:div w:id="753480276">
      <w:bodyDiv w:val="1"/>
      <w:marLeft w:val="0"/>
      <w:marRight w:val="0"/>
      <w:marTop w:val="0"/>
      <w:marBottom w:val="0"/>
      <w:divBdr>
        <w:top w:val="none" w:sz="0" w:space="0" w:color="auto"/>
        <w:left w:val="none" w:sz="0" w:space="0" w:color="auto"/>
        <w:bottom w:val="none" w:sz="0" w:space="0" w:color="auto"/>
        <w:right w:val="none" w:sz="0" w:space="0" w:color="auto"/>
      </w:divBdr>
      <w:divsChild>
        <w:div w:id="805123950">
          <w:marLeft w:val="547"/>
          <w:marRight w:val="0"/>
          <w:marTop w:val="0"/>
          <w:marBottom w:val="0"/>
          <w:divBdr>
            <w:top w:val="none" w:sz="0" w:space="0" w:color="auto"/>
            <w:left w:val="none" w:sz="0" w:space="0" w:color="auto"/>
            <w:bottom w:val="none" w:sz="0" w:space="0" w:color="auto"/>
            <w:right w:val="none" w:sz="0" w:space="0" w:color="auto"/>
          </w:divBdr>
        </w:div>
        <w:div w:id="1556816630">
          <w:marLeft w:val="547"/>
          <w:marRight w:val="0"/>
          <w:marTop w:val="0"/>
          <w:marBottom w:val="0"/>
          <w:divBdr>
            <w:top w:val="none" w:sz="0" w:space="0" w:color="auto"/>
            <w:left w:val="none" w:sz="0" w:space="0" w:color="auto"/>
            <w:bottom w:val="none" w:sz="0" w:space="0" w:color="auto"/>
            <w:right w:val="none" w:sz="0" w:space="0" w:color="auto"/>
          </w:divBdr>
        </w:div>
        <w:div w:id="830294081">
          <w:marLeft w:val="547"/>
          <w:marRight w:val="0"/>
          <w:marTop w:val="0"/>
          <w:marBottom w:val="0"/>
          <w:divBdr>
            <w:top w:val="none" w:sz="0" w:space="0" w:color="auto"/>
            <w:left w:val="none" w:sz="0" w:space="0" w:color="auto"/>
            <w:bottom w:val="none" w:sz="0" w:space="0" w:color="auto"/>
            <w:right w:val="none" w:sz="0" w:space="0" w:color="auto"/>
          </w:divBdr>
        </w:div>
        <w:div w:id="1503819807">
          <w:marLeft w:val="547"/>
          <w:marRight w:val="0"/>
          <w:marTop w:val="0"/>
          <w:marBottom w:val="0"/>
          <w:divBdr>
            <w:top w:val="none" w:sz="0" w:space="0" w:color="auto"/>
            <w:left w:val="none" w:sz="0" w:space="0" w:color="auto"/>
            <w:bottom w:val="none" w:sz="0" w:space="0" w:color="auto"/>
            <w:right w:val="none" w:sz="0" w:space="0" w:color="auto"/>
          </w:divBdr>
        </w:div>
        <w:div w:id="1921406863">
          <w:marLeft w:val="547"/>
          <w:marRight w:val="0"/>
          <w:marTop w:val="0"/>
          <w:marBottom w:val="0"/>
          <w:divBdr>
            <w:top w:val="none" w:sz="0" w:space="0" w:color="auto"/>
            <w:left w:val="none" w:sz="0" w:space="0" w:color="auto"/>
            <w:bottom w:val="none" w:sz="0" w:space="0" w:color="auto"/>
            <w:right w:val="none" w:sz="0" w:space="0" w:color="auto"/>
          </w:divBdr>
        </w:div>
        <w:div w:id="98912142">
          <w:marLeft w:val="547"/>
          <w:marRight w:val="0"/>
          <w:marTop w:val="0"/>
          <w:marBottom w:val="0"/>
          <w:divBdr>
            <w:top w:val="none" w:sz="0" w:space="0" w:color="auto"/>
            <w:left w:val="none" w:sz="0" w:space="0" w:color="auto"/>
            <w:bottom w:val="none" w:sz="0" w:space="0" w:color="auto"/>
            <w:right w:val="none" w:sz="0" w:space="0" w:color="auto"/>
          </w:divBdr>
        </w:div>
      </w:divsChild>
    </w:div>
    <w:div w:id="772284098">
      <w:bodyDiv w:val="1"/>
      <w:marLeft w:val="0"/>
      <w:marRight w:val="0"/>
      <w:marTop w:val="0"/>
      <w:marBottom w:val="0"/>
      <w:divBdr>
        <w:top w:val="none" w:sz="0" w:space="0" w:color="auto"/>
        <w:left w:val="none" w:sz="0" w:space="0" w:color="auto"/>
        <w:bottom w:val="none" w:sz="0" w:space="0" w:color="auto"/>
        <w:right w:val="none" w:sz="0" w:space="0" w:color="auto"/>
      </w:divBdr>
      <w:divsChild>
        <w:div w:id="780488828">
          <w:marLeft w:val="547"/>
          <w:marRight w:val="0"/>
          <w:marTop w:val="0"/>
          <w:marBottom w:val="0"/>
          <w:divBdr>
            <w:top w:val="none" w:sz="0" w:space="0" w:color="auto"/>
            <w:left w:val="none" w:sz="0" w:space="0" w:color="auto"/>
            <w:bottom w:val="none" w:sz="0" w:space="0" w:color="auto"/>
            <w:right w:val="none" w:sz="0" w:space="0" w:color="auto"/>
          </w:divBdr>
        </w:div>
        <w:div w:id="2099213067">
          <w:marLeft w:val="547"/>
          <w:marRight w:val="0"/>
          <w:marTop w:val="0"/>
          <w:marBottom w:val="0"/>
          <w:divBdr>
            <w:top w:val="none" w:sz="0" w:space="0" w:color="auto"/>
            <w:left w:val="none" w:sz="0" w:space="0" w:color="auto"/>
            <w:bottom w:val="none" w:sz="0" w:space="0" w:color="auto"/>
            <w:right w:val="none" w:sz="0" w:space="0" w:color="auto"/>
          </w:divBdr>
        </w:div>
        <w:div w:id="310139882">
          <w:marLeft w:val="547"/>
          <w:marRight w:val="0"/>
          <w:marTop w:val="0"/>
          <w:marBottom w:val="0"/>
          <w:divBdr>
            <w:top w:val="none" w:sz="0" w:space="0" w:color="auto"/>
            <w:left w:val="none" w:sz="0" w:space="0" w:color="auto"/>
            <w:bottom w:val="none" w:sz="0" w:space="0" w:color="auto"/>
            <w:right w:val="none" w:sz="0" w:space="0" w:color="auto"/>
          </w:divBdr>
        </w:div>
        <w:div w:id="1235703755">
          <w:marLeft w:val="547"/>
          <w:marRight w:val="0"/>
          <w:marTop w:val="0"/>
          <w:marBottom w:val="0"/>
          <w:divBdr>
            <w:top w:val="none" w:sz="0" w:space="0" w:color="auto"/>
            <w:left w:val="none" w:sz="0" w:space="0" w:color="auto"/>
            <w:bottom w:val="none" w:sz="0" w:space="0" w:color="auto"/>
            <w:right w:val="none" w:sz="0" w:space="0" w:color="auto"/>
          </w:divBdr>
        </w:div>
        <w:div w:id="1441223796">
          <w:marLeft w:val="547"/>
          <w:marRight w:val="0"/>
          <w:marTop w:val="0"/>
          <w:marBottom w:val="0"/>
          <w:divBdr>
            <w:top w:val="none" w:sz="0" w:space="0" w:color="auto"/>
            <w:left w:val="none" w:sz="0" w:space="0" w:color="auto"/>
            <w:bottom w:val="none" w:sz="0" w:space="0" w:color="auto"/>
            <w:right w:val="none" w:sz="0" w:space="0" w:color="auto"/>
          </w:divBdr>
        </w:div>
        <w:div w:id="138231343">
          <w:marLeft w:val="547"/>
          <w:marRight w:val="0"/>
          <w:marTop w:val="0"/>
          <w:marBottom w:val="0"/>
          <w:divBdr>
            <w:top w:val="none" w:sz="0" w:space="0" w:color="auto"/>
            <w:left w:val="none" w:sz="0" w:space="0" w:color="auto"/>
            <w:bottom w:val="none" w:sz="0" w:space="0" w:color="auto"/>
            <w:right w:val="none" w:sz="0" w:space="0" w:color="auto"/>
          </w:divBdr>
        </w:div>
      </w:divsChild>
    </w:div>
    <w:div w:id="828597770">
      <w:bodyDiv w:val="1"/>
      <w:marLeft w:val="0"/>
      <w:marRight w:val="0"/>
      <w:marTop w:val="0"/>
      <w:marBottom w:val="0"/>
      <w:divBdr>
        <w:top w:val="none" w:sz="0" w:space="0" w:color="auto"/>
        <w:left w:val="none" w:sz="0" w:space="0" w:color="auto"/>
        <w:bottom w:val="none" w:sz="0" w:space="0" w:color="auto"/>
        <w:right w:val="none" w:sz="0" w:space="0" w:color="auto"/>
      </w:divBdr>
    </w:div>
    <w:div w:id="12231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C2635427A4E4EB4FA78046F20D58F" ma:contentTypeVersion="11" ma:contentTypeDescription="Create a new document." ma:contentTypeScope="" ma:versionID="a3eb1a7939c034dbccb4267e540272f7">
  <xsd:schema xmlns:xsd="http://www.w3.org/2001/XMLSchema" xmlns:xs="http://www.w3.org/2001/XMLSchema" xmlns:p="http://schemas.microsoft.com/office/2006/metadata/properties" xmlns:ns3="7656b2f7-f451-47e3-828c-80edc4185b17" targetNamespace="http://schemas.microsoft.com/office/2006/metadata/properties" ma:root="true" ma:fieldsID="044358afaaacc118abc495256602d609" ns3:_="">
    <xsd:import namespace="7656b2f7-f451-47e3-828c-80edc4185b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6b2f7-f451-47e3-828c-80edc4185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2F717-EFD7-4D04-8537-9D778A76D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6b2f7-f451-47e3-828c-80edc418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A048D-07D1-4752-A6E6-8AF61ECCFFC5}">
  <ds:schemaRefs>
    <ds:schemaRef ds:uri="http://schemas.microsoft.com/sharepoint/v3/contenttype/forms"/>
  </ds:schemaRefs>
</ds:datastoreItem>
</file>

<file path=customXml/itemProps3.xml><?xml version="1.0" encoding="utf-8"?>
<ds:datastoreItem xmlns:ds="http://schemas.openxmlformats.org/officeDocument/2006/customXml" ds:itemID="{16DC0AB1-4F38-4AF6-BDC1-86A63A8B3397}">
  <ds:schemaRefs>
    <ds:schemaRef ds:uri="http://schemas.microsoft.com/office/2006/documentManagement/types"/>
    <ds:schemaRef ds:uri="http://purl.org/dc/terms/"/>
    <ds:schemaRef ds:uri="http://schemas.openxmlformats.org/package/2006/metadata/core-properties"/>
    <ds:schemaRef ds:uri="7656b2f7-f451-47e3-828c-80edc4185b1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Jennifer</dc:creator>
  <cp:keywords/>
  <dc:description/>
  <cp:lastModifiedBy>Maureen Scallen Failor</cp:lastModifiedBy>
  <cp:revision>2</cp:revision>
  <dcterms:created xsi:type="dcterms:W3CDTF">2022-12-05T18:53:00Z</dcterms:created>
  <dcterms:modified xsi:type="dcterms:W3CDTF">2022-12-05T18:53:00Z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0x010100BCCC2635427A4E4EB4FA78046F20D58F</vt:lpwstr>
  </property>
</Properties>
</file>