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A063" w14:textId="24A9FE5F" w:rsidR="00D608A3" w:rsidRPr="00B52083" w:rsidRDefault="00B52083" w:rsidP="00B52083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5FD3C754" wp14:editId="63338D49">
            <wp:extent cx="1885950" cy="1638857"/>
            <wp:effectExtent l="0" t="0" r="0" b="0"/>
            <wp:docPr id="1519252666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52666" name="Picture 3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63" cy="166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                        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61E195E8" wp14:editId="20A10E58">
            <wp:extent cx="2063750" cy="2063750"/>
            <wp:effectExtent l="0" t="0" r="0" b="0"/>
            <wp:docPr id="1527243769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43769" name="Picture 1" descr="A white circle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49" cy="206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7D1A" w14:textId="77777777" w:rsidR="00B52083" w:rsidRDefault="00B52083" w:rsidP="00676304">
      <w:pPr>
        <w:spacing w:line="480" w:lineRule="auto"/>
        <w:jc w:val="center"/>
        <w:rPr>
          <w:rFonts w:cstheme="minorHAnsi"/>
          <w:sz w:val="28"/>
          <w:szCs w:val="28"/>
        </w:rPr>
      </w:pPr>
    </w:p>
    <w:p w14:paraId="627F9347" w14:textId="289035B1" w:rsidR="00D608A3" w:rsidRPr="00D608A3" w:rsidRDefault="00D608A3" w:rsidP="00676304">
      <w:pPr>
        <w:spacing w:line="480" w:lineRule="auto"/>
        <w:jc w:val="center"/>
        <w:rPr>
          <w:rFonts w:cstheme="minorHAnsi"/>
          <w:sz w:val="28"/>
          <w:szCs w:val="28"/>
        </w:rPr>
      </w:pPr>
      <w:r w:rsidRPr="00D608A3">
        <w:rPr>
          <w:rFonts w:cstheme="minorHAnsi"/>
          <w:sz w:val="28"/>
          <w:szCs w:val="28"/>
        </w:rPr>
        <w:t>Vendor Agreement</w:t>
      </w:r>
    </w:p>
    <w:p w14:paraId="30386059" w14:textId="26689C79" w:rsidR="00154320" w:rsidRDefault="00154320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This Taste of Donelson-Hermitage Vendor Agreement (hereinafter the “Agreement”) is by and</w:t>
      </w:r>
      <w:r w:rsidR="00676304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 xml:space="preserve">between   </w:t>
      </w:r>
      <w:r w:rsidR="00DF7D86">
        <w:rPr>
          <w:rFonts w:asciiTheme="majorHAnsi" w:hAnsiTheme="majorHAnsi" w:cstheme="majorHAnsi"/>
        </w:rPr>
        <w:t xml:space="preserve">__________________________ </w:t>
      </w:r>
      <w:r w:rsidRPr="00D608A3">
        <w:rPr>
          <w:rFonts w:asciiTheme="majorHAnsi" w:hAnsiTheme="majorHAnsi" w:cstheme="majorHAnsi"/>
        </w:rPr>
        <w:t>(hereinafter “Vendor”) and the Donelson Hermitage</w:t>
      </w:r>
      <w:r w:rsidR="00676304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Chamber of Commerce (hereinafter the “Chamber”)</w:t>
      </w:r>
      <w:r w:rsidR="00DF7D86">
        <w:rPr>
          <w:rFonts w:asciiTheme="majorHAnsi" w:hAnsiTheme="majorHAnsi" w:cstheme="majorHAnsi"/>
        </w:rPr>
        <w:t>.</w:t>
      </w:r>
    </w:p>
    <w:p w14:paraId="4F64D7B5" w14:textId="77777777" w:rsidR="006C2D65" w:rsidRPr="00D608A3" w:rsidRDefault="006C2D65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60C8945C" w14:textId="54357AC1" w:rsidR="00D608A3" w:rsidRPr="00D608A3" w:rsidRDefault="00D608A3" w:rsidP="0067630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6C2D65">
        <w:rPr>
          <w:rFonts w:asciiTheme="majorHAnsi" w:hAnsiTheme="majorHAnsi" w:cstheme="majorHAnsi"/>
          <w:b/>
          <w:bCs/>
        </w:rPr>
        <w:t>WHEREAS</w:t>
      </w:r>
      <w:r w:rsidRPr="00D608A3">
        <w:rPr>
          <w:rFonts w:asciiTheme="majorHAnsi" w:hAnsiTheme="majorHAnsi" w:cstheme="majorHAnsi"/>
        </w:rPr>
        <w:t>, Vendor is an entity, partnership, or sole proprietor that wishes to participate in the</w:t>
      </w:r>
      <w:r w:rsidR="006C2D65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Taste of Donelson Hermitage event;</w:t>
      </w:r>
    </w:p>
    <w:p w14:paraId="6A343ECA" w14:textId="4BB07D0E" w:rsidR="00D608A3" w:rsidRDefault="00D608A3" w:rsidP="0067630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6C2D65">
        <w:rPr>
          <w:rFonts w:asciiTheme="majorHAnsi" w:hAnsiTheme="majorHAnsi" w:cstheme="majorHAnsi"/>
          <w:b/>
          <w:bCs/>
        </w:rPr>
        <w:t>WHEREAS</w:t>
      </w:r>
      <w:r w:rsidRPr="00D608A3">
        <w:rPr>
          <w:rFonts w:asciiTheme="majorHAnsi" w:hAnsiTheme="majorHAnsi" w:cstheme="majorHAnsi"/>
        </w:rPr>
        <w:t>, the Chamber has accepted Vendor’s application and has agreed to allow Vendor’s</w:t>
      </w:r>
      <w:r w:rsidR="006C2D65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aforementioned participation;</w:t>
      </w:r>
    </w:p>
    <w:p w14:paraId="2317F3C6" w14:textId="77777777" w:rsidR="006C2D65" w:rsidRPr="00D608A3" w:rsidRDefault="006C2D65" w:rsidP="0067630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</w:p>
    <w:p w14:paraId="566A353B" w14:textId="2865170E" w:rsidR="00D608A3" w:rsidRDefault="00D608A3" w:rsidP="0067630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6C2D65">
        <w:rPr>
          <w:rFonts w:asciiTheme="majorHAnsi" w:hAnsiTheme="majorHAnsi" w:cstheme="majorHAnsi"/>
          <w:b/>
          <w:bCs/>
        </w:rPr>
        <w:t>NOW THEREFORE</w:t>
      </w:r>
      <w:r w:rsidRPr="00D608A3">
        <w:rPr>
          <w:rFonts w:asciiTheme="majorHAnsi" w:hAnsiTheme="majorHAnsi" w:cstheme="majorHAnsi"/>
        </w:rPr>
        <w:t>, in consideration of the promises and covenants herein contained, and for</w:t>
      </w:r>
      <w:r w:rsidR="006C2D65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other valuable consideration received, the sufficiency of which is hereby acknowledged, it is</w:t>
      </w:r>
      <w:r w:rsidR="00676304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mutually agreed, by and among the Parties hereto, and each of them, as follows:</w:t>
      </w:r>
    </w:p>
    <w:p w14:paraId="0FFD7FC5" w14:textId="77777777" w:rsidR="006C2D65" w:rsidRPr="00D608A3" w:rsidRDefault="006C2D65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767E67B6" w14:textId="0EB9A511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1. That Vendor agrees to attend the Taste of Donelson Hermitage event (hereinafter the</w:t>
      </w:r>
      <w:r w:rsidR="00676304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 xml:space="preserve">“Event”) on </w:t>
      </w:r>
      <w:r w:rsidR="00DF7D86">
        <w:rPr>
          <w:rFonts w:asciiTheme="majorHAnsi" w:hAnsiTheme="majorHAnsi" w:cstheme="majorHAnsi"/>
        </w:rPr>
        <w:t xml:space="preserve">September 14, 2024, </w:t>
      </w:r>
      <w:r w:rsidR="006C2D65">
        <w:rPr>
          <w:rFonts w:asciiTheme="majorHAnsi" w:hAnsiTheme="majorHAnsi" w:cstheme="majorHAnsi"/>
        </w:rPr>
        <w:t xml:space="preserve">from 4:00 P.M. to 8:00 P.M. at </w:t>
      </w:r>
      <w:r w:rsidR="00DF7D86">
        <w:rPr>
          <w:rFonts w:asciiTheme="majorHAnsi" w:hAnsiTheme="majorHAnsi" w:cstheme="majorHAnsi"/>
        </w:rPr>
        <w:t>Andrew Jackson’s Hermitage</w:t>
      </w:r>
      <w:r w:rsidR="006C2D65">
        <w:rPr>
          <w:rFonts w:asciiTheme="majorHAnsi" w:hAnsiTheme="majorHAnsi" w:cstheme="majorHAnsi"/>
        </w:rPr>
        <w:t xml:space="preserve">, located at </w:t>
      </w:r>
      <w:r w:rsidR="00DF7D86">
        <w:rPr>
          <w:rFonts w:asciiTheme="majorHAnsi" w:hAnsiTheme="majorHAnsi" w:cstheme="majorHAnsi"/>
        </w:rPr>
        <w:t>4580 Rachels Lane, Hermitage, Tennessee, 37076.</w:t>
      </w:r>
    </w:p>
    <w:p w14:paraId="0C4C1BE2" w14:textId="2524D498" w:rsidR="001D0319" w:rsidRPr="00D608A3" w:rsidRDefault="001D0319" w:rsidP="001D0319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 That Vendor Booth Fees are non-refundable.</w:t>
      </w:r>
    </w:p>
    <w:p w14:paraId="2823400E" w14:textId="723F994A" w:rsidR="00D608A3" w:rsidRDefault="001D0319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D608A3" w:rsidRPr="00D608A3">
        <w:rPr>
          <w:rFonts w:asciiTheme="majorHAnsi" w:hAnsiTheme="majorHAnsi" w:cstheme="majorHAnsi"/>
        </w:rPr>
        <w:t>. That if Vendor does not attend the Event, for any reason, Vendor hereby agrees to pay a</w:t>
      </w:r>
      <w:r w:rsidR="00676304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fee of $100.00 to the Chamber.</w:t>
      </w:r>
    </w:p>
    <w:p w14:paraId="71801F61" w14:textId="3E491A80" w:rsidR="00D608A3" w:rsidRPr="00D608A3" w:rsidRDefault="00676304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D608A3" w:rsidRPr="00D608A3">
        <w:rPr>
          <w:rFonts w:asciiTheme="majorHAnsi" w:hAnsiTheme="majorHAnsi" w:cstheme="majorHAnsi"/>
        </w:rPr>
        <w:t>. That if Vendor does not pay the $100.00 fee described above, that Vendor must pay all</w:t>
      </w:r>
      <w:r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attorneys’ fees and costs of collections associated with the collection of said fee.</w:t>
      </w:r>
    </w:p>
    <w:p w14:paraId="1981B0BC" w14:textId="77777777" w:rsidR="00B52083" w:rsidRDefault="00B52083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1FE0B09B" w14:textId="716852A5" w:rsidR="00B52083" w:rsidRDefault="00B52083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Pg 2</w:t>
      </w:r>
    </w:p>
    <w:p w14:paraId="05AEFA79" w14:textId="77777777" w:rsidR="00B52083" w:rsidRDefault="00B52083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6291B6C7" w14:textId="59AA0203" w:rsidR="00D608A3" w:rsidRPr="00D608A3" w:rsidRDefault="00676304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D608A3" w:rsidRPr="00D608A3">
        <w:rPr>
          <w:rFonts w:asciiTheme="majorHAnsi" w:hAnsiTheme="majorHAnsi" w:cstheme="majorHAnsi"/>
        </w:rPr>
        <w:t xml:space="preserve">. That Vendor agrees to protect, indemnify, defend, and hold harmless the </w:t>
      </w:r>
      <w:r w:rsidR="003A4B03">
        <w:rPr>
          <w:rFonts w:asciiTheme="majorHAnsi" w:hAnsiTheme="majorHAnsi" w:cstheme="majorHAnsi"/>
        </w:rPr>
        <w:t xml:space="preserve">Donelson Hermitage Chamber of Commerce, </w:t>
      </w:r>
      <w:r w:rsidR="008E1AD3">
        <w:rPr>
          <w:rFonts w:asciiTheme="majorHAnsi" w:hAnsiTheme="majorHAnsi" w:cstheme="majorHAnsi"/>
        </w:rPr>
        <w:t>Andrew Jackson’s Hermitage,</w:t>
      </w:r>
      <w:r w:rsidR="003A4B03">
        <w:rPr>
          <w:rFonts w:asciiTheme="majorHAnsi" w:hAnsiTheme="majorHAnsi" w:cstheme="majorHAnsi"/>
        </w:rPr>
        <w:t xml:space="preserve"> and all of their collective</w:t>
      </w:r>
      <w:r w:rsidR="00D608A3" w:rsidRPr="00D608A3">
        <w:rPr>
          <w:rFonts w:asciiTheme="majorHAnsi" w:hAnsiTheme="majorHAnsi" w:cstheme="majorHAnsi"/>
        </w:rPr>
        <w:t>, directors, members, managers, agents, and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employees from all third</w:t>
      </w:r>
      <w:r w:rsidR="006C2D65">
        <w:rPr>
          <w:rFonts w:asciiTheme="majorHAnsi" w:hAnsiTheme="majorHAnsi" w:cstheme="majorHAnsi"/>
        </w:rPr>
        <w:t>-</w:t>
      </w:r>
      <w:r w:rsidR="00D608A3" w:rsidRPr="00D608A3">
        <w:rPr>
          <w:rFonts w:asciiTheme="majorHAnsi" w:hAnsiTheme="majorHAnsi" w:cstheme="majorHAnsi"/>
        </w:rPr>
        <w:t>party claims, actions, liabilities, losses, damages, expenses, and costs,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including but not limited to reasonable attorneys’ fees, that may at any time be incurred by any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of them by reason of any claims, suits, or proceedings related to or arising out of Vendor’s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participation in the Event. Said claims, suits, or proceedings include, but are not limited to,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claims suits and proceedings arising out of products liability or Vendor’s provision of any food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or beverage consumed during or any time after the Event and consumed by patrons of the</w:t>
      </w:r>
      <w:r w:rsidR="006C2D65"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Event or non-patrons of the Event.</w:t>
      </w:r>
    </w:p>
    <w:p w14:paraId="392F6519" w14:textId="4847551D" w:rsidR="00D608A3" w:rsidRPr="00D608A3" w:rsidRDefault="00676304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D608A3" w:rsidRPr="00D608A3">
        <w:rPr>
          <w:rFonts w:asciiTheme="majorHAnsi" w:hAnsiTheme="majorHAnsi" w:cstheme="majorHAnsi"/>
        </w:rPr>
        <w:t>. That Vendor hereby agrees to maintain general liability insurance during the course of</w:t>
      </w:r>
      <w:r>
        <w:rPr>
          <w:rFonts w:asciiTheme="majorHAnsi" w:hAnsiTheme="majorHAnsi" w:cstheme="majorHAnsi"/>
        </w:rPr>
        <w:t xml:space="preserve"> </w:t>
      </w:r>
      <w:r w:rsidR="00D608A3" w:rsidRPr="00D608A3">
        <w:rPr>
          <w:rFonts w:asciiTheme="majorHAnsi" w:hAnsiTheme="majorHAnsi" w:cstheme="majorHAnsi"/>
        </w:rPr>
        <w:t>performance under this Agreement and during Vendor’s participation at the Event.</w:t>
      </w:r>
    </w:p>
    <w:p w14:paraId="6A464845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254F7741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Vendor:</w:t>
      </w:r>
    </w:p>
    <w:p w14:paraId="749EB993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Printed Name:</w:t>
      </w:r>
    </w:p>
    <w:p w14:paraId="084228C1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Signature:</w:t>
      </w:r>
    </w:p>
    <w:p w14:paraId="6D221A66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Date:</w:t>
      </w:r>
    </w:p>
    <w:p w14:paraId="505BB44A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</w:p>
    <w:p w14:paraId="692050D3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Return to:</w:t>
      </w:r>
    </w:p>
    <w:p w14:paraId="17C9959B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Taste of Donelson-Hermitage</w:t>
      </w:r>
    </w:p>
    <w:p w14:paraId="2B7D24D1" w14:textId="505C88F8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Donelson</w:t>
      </w:r>
      <w:r w:rsidR="008E1AD3">
        <w:rPr>
          <w:rFonts w:asciiTheme="majorHAnsi" w:hAnsiTheme="majorHAnsi" w:cstheme="majorHAnsi"/>
        </w:rPr>
        <w:t xml:space="preserve"> </w:t>
      </w:r>
      <w:r w:rsidRPr="00D608A3">
        <w:rPr>
          <w:rFonts w:asciiTheme="majorHAnsi" w:hAnsiTheme="majorHAnsi" w:cstheme="majorHAnsi"/>
        </w:rPr>
        <w:t>Hermitage Chamber of Commerce</w:t>
      </w:r>
    </w:p>
    <w:p w14:paraId="7AFA20AB" w14:textId="77777777" w:rsidR="00D608A3" w:rsidRPr="00D608A3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P.O. Box 140200</w:t>
      </w:r>
    </w:p>
    <w:p w14:paraId="7C099D8F" w14:textId="68C4298B" w:rsidR="00F17DAF" w:rsidRDefault="00D608A3" w:rsidP="00676304">
      <w:pPr>
        <w:spacing w:line="360" w:lineRule="auto"/>
        <w:jc w:val="both"/>
        <w:rPr>
          <w:rFonts w:asciiTheme="majorHAnsi" w:hAnsiTheme="majorHAnsi" w:cstheme="majorHAnsi"/>
        </w:rPr>
      </w:pPr>
      <w:r w:rsidRPr="00D608A3">
        <w:rPr>
          <w:rFonts w:asciiTheme="majorHAnsi" w:hAnsiTheme="majorHAnsi" w:cstheme="majorHAnsi"/>
        </w:rPr>
        <w:t>Nashville, Tennessee 37214-0200</w:t>
      </w:r>
    </w:p>
    <w:p w14:paraId="430AF386" w14:textId="1D53C5BF" w:rsidR="001D0319" w:rsidRPr="00D608A3" w:rsidRDefault="001D0319" w:rsidP="00676304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 email signed copy to events@d-hchamber.com</w:t>
      </w:r>
    </w:p>
    <w:sectPr w:rsidR="001D0319" w:rsidRPr="00D608A3" w:rsidSect="00B52083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3"/>
    <w:rsid w:val="00113235"/>
    <w:rsid w:val="00154320"/>
    <w:rsid w:val="001D0319"/>
    <w:rsid w:val="00224DE2"/>
    <w:rsid w:val="003A4B03"/>
    <w:rsid w:val="00676304"/>
    <w:rsid w:val="006C2D65"/>
    <w:rsid w:val="00750D5B"/>
    <w:rsid w:val="008C7A43"/>
    <w:rsid w:val="008E1AD3"/>
    <w:rsid w:val="00AE0463"/>
    <w:rsid w:val="00B52083"/>
    <w:rsid w:val="00BF4171"/>
    <w:rsid w:val="00C06391"/>
    <w:rsid w:val="00C636C3"/>
    <w:rsid w:val="00D608A3"/>
    <w:rsid w:val="00D724D1"/>
    <w:rsid w:val="00DF7D86"/>
    <w:rsid w:val="00E572EB"/>
    <w:rsid w:val="00EE049A"/>
    <w:rsid w:val="00EF2530"/>
    <w:rsid w:val="00F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54E1"/>
  <w15:chartTrackingRefBased/>
  <w15:docId w15:val="{1531A319-FEB1-5248-9275-EC166E3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0D3A-CA5C-4556-A572-7D03B0E6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Kathryn Jackson</cp:lastModifiedBy>
  <cp:revision>2</cp:revision>
  <dcterms:created xsi:type="dcterms:W3CDTF">2024-07-31T19:08:00Z</dcterms:created>
  <dcterms:modified xsi:type="dcterms:W3CDTF">2024-07-31T19:08:00Z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0b223-5825-47df-9662-4c7ba80f2698_Enabled">
    <vt:lpwstr>true</vt:lpwstr>
  </property>
  <property fmtid="{D5CDD505-2E9C-101B-9397-08002B2CF9AE}" pid="3" name="MSIP_Label_5570b223-5825-47df-9662-4c7ba80f2698_SetDate">
    <vt:lpwstr>2023-07-05T19:31:42Z</vt:lpwstr>
  </property>
  <property fmtid="{D5CDD505-2E9C-101B-9397-08002B2CF9AE}" pid="4" name="MSIP_Label_5570b223-5825-47df-9662-4c7ba80f2698_Method">
    <vt:lpwstr>Standard</vt:lpwstr>
  </property>
  <property fmtid="{D5CDD505-2E9C-101B-9397-08002B2CF9AE}" pid="5" name="MSIP_Label_5570b223-5825-47df-9662-4c7ba80f2698_Name">
    <vt:lpwstr>defa4170-0d19-0005-0004-bc88714345d2</vt:lpwstr>
  </property>
  <property fmtid="{D5CDD505-2E9C-101B-9397-08002B2CF9AE}" pid="6" name="MSIP_Label_5570b223-5825-47df-9662-4c7ba80f2698_SiteId">
    <vt:lpwstr>c94a6bf9-4af1-4736-8268-1e174c7238ee</vt:lpwstr>
  </property>
  <property fmtid="{D5CDD505-2E9C-101B-9397-08002B2CF9AE}" pid="7" name="MSIP_Label_5570b223-5825-47df-9662-4c7ba80f2698_ActionId">
    <vt:lpwstr>a7f37e21-f91c-4404-ba40-0307a4c33ab4</vt:lpwstr>
  </property>
  <property fmtid="{D5CDD505-2E9C-101B-9397-08002B2CF9AE}" pid="8" name="MSIP_Label_5570b223-5825-47df-9662-4c7ba80f2698_ContentBits">
    <vt:lpwstr>0</vt:lpwstr>
  </property>
</Properties>
</file>