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BB066" w14:textId="1C4AAD19" w:rsidR="008E774B" w:rsidRPr="007451D2" w:rsidRDefault="008E774B" w:rsidP="007451D2">
      <w:pPr>
        <w:spacing w:after="200" w:line="240" w:lineRule="auto"/>
        <w:jc w:val="center"/>
        <w:rPr>
          <w:rFonts w:ascii="Times New Roman" w:eastAsia="Calibri" w:hAnsi="Times New Roman" w:cs="Times New Roman"/>
          <w:b/>
          <w:color w:val="000000" w:themeColor="text1"/>
          <w:sz w:val="28"/>
          <w:szCs w:val="28"/>
        </w:rPr>
      </w:pPr>
      <w:r w:rsidRPr="00917207">
        <w:rPr>
          <w:rFonts w:ascii="Times New Roman" w:eastAsia="Calibri" w:hAnsi="Times New Roman" w:cs="Times New Roman"/>
          <w:b/>
          <w:sz w:val="28"/>
          <w:szCs w:val="28"/>
          <w:u w:val="single"/>
        </w:rPr>
        <w:t xml:space="preserve">An Act to amend the insurance law, in relation to physical therapy services </w:t>
      </w:r>
      <w:r w:rsidRPr="00B41E03">
        <w:rPr>
          <w:rFonts w:ascii="Times New Roman" w:eastAsia="Calibri" w:hAnsi="Times New Roman" w:cs="Times New Roman"/>
          <w:b/>
          <w:color w:val="000000" w:themeColor="text1"/>
          <w:sz w:val="28"/>
          <w:szCs w:val="28"/>
          <w:u w:val="single"/>
        </w:rPr>
        <w:t>[</w:t>
      </w:r>
      <w:r w:rsidRPr="00B41E03">
        <w:rPr>
          <w:rFonts w:ascii="Times New Roman" w:eastAsia="Calibri" w:hAnsi="Times New Roman" w:cs="Times New Roman"/>
          <w:b/>
          <w:color w:val="000000" w:themeColor="text1"/>
          <w:sz w:val="28"/>
          <w:szCs w:val="28"/>
        </w:rPr>
        <w:t xml:space="preserve">S </w:t>
      </w:r>
      <w:proofErr w:type="spellStart"/>
      <w:r>
        <w:rPr>
          <w:rFonts w:ascii="Times New Roman" w:eastAsia="Calibri" w:hAnsi="Times New Roman" w:cs="Times New Roman"/>
          <w:b/>
          <w:color w:val="000000" w:themeColor="text1"/>
          <w:sz w:val="28"/>
          <w:szCs w:val="28"/>
        </w:rPr>
        <w:t>S</w:t>
      </w:r>
      <w:proofErr w:type="spellEnd"/>
      <w:r>
        <w:rPr>
          <w:rFonts w:ascii="Times New Roman" w:eastAsia="Calibri" w:hAnsi="Times New Roman" w:cs="Times New Roman"/>
          <w:b/>
          <w:color w:val="000000" w:themeColor="text1"/>
          <w:sz w:val="28"/>
          <w:szCs w:val="28"/>
        </w:rPr>
        <w:t xml:space="preserve"> 5045 (Bailey</w:t>
      </w:r>
      <w:r w:rsidRPr="00B41E03">
        <w:rPr>
          <w:rFonts w:ascii="Times New Roman" w:eastAsia="Calibri" w:hAnsi="Times New Roman" w:cs="Times New Roman"/>
          <w:b/>
          <w:color w:val="000000" w:themeColor="text1"/>
          <w:sz w:val="28"/>
          <w:szCs w:val="28"/>
        </w:rPr>
        <w:t>) / A</w:t>
      </w:r>
      <w:r w:rsidR="00386DFC">
        <w:rPr>
          <w:rFonts w:ascii="Times New Roman" w:eastAsia="Calibri" w:hAnsi="Times New Roman" w:cs="Times New Roman"/>
          <w:b/>
          <w:color w:val="000000" w:themeColor="text1"/>
          <w:sz w:val="28"/>
          <w:szCs w:val="28"/>
        </w:rPr>
        <w:t>0</w:t>
      </w:r>
      <w:r w:rsidRPr="00B41E03">
        <w:rPr>
          <w:rFonts w:ascii="Times New Roman" w:eastAsia="Calibri" w:hAnsi="Times New Roman" w:cs="Times New Roman"/>
          <w:b/>
          <w:color w:val="000000" w:themeColor="text1"/>
          <w:sz w:val="28"/>
          <w:szCs w:val="28"/>
        </w:rPr>
        <w:t>6</w:t>
      </w:r>
      <w:r w:rsidR="00386DFC">
        <w:rPr>
          <w:rFonts w:ascii="Times New Roman" w:eastAsia="Calibri" w:hAnsi="Times New Roman" w:cs="Times New Roman"/>
          <w:b/>
          <w:color w:val="000000" w:themeColor="text1"/>
          <w:sz w:val="28"/>
          <w:szCs w:val="28"/>
        </w:rPr>
        <w:t>484</w:t>
      </w:r>
      <w:r w:rsidRPr="00B41E03">
        <w:rPr>
          <w:rFonts w:ascii="Times New Roman" w:eastAsia="Calibri" w:hAnsi="Times New Roman" w:cs="Times New Roman"/>
          <w:b/>
          <w:color w:val="000000" w:themeColor="text1"/>
          <w:sz w:val="28"/>
          <w:szCs w:val="28"/>
        </w:rPr>
        <w:t>(</w:t>
      </w:r>
      <w:r>
        <w:rPr>
          <w:rFonts w:ascii="Times New Roman" w:eastAsia="Calibri" w:hAnsi="Times New Roman" w:cs="Times New Roman"/>
          <w:b/>
          <w:color w:val="000000" w:themeColor="text1"/>
          <w:sz w:val="28"/>
          <w:szCs w:val="28"/>
        </w:rPr>
        <w:t>Weprin</w:t>
      </w:r>
      <w:r w:rsidRPr="00B41E03">
        <w:rPr>
          <w:rFonts w:ascii="Times New Roman" w:eastAsia="Calibri" w:hAnsi="Times New Roman" w:cs="Times New Roman"/>
          <w:b/>
          <w:color w:val="000000" w:themeColor="text1"/>
          <w:sz w:val="28"/>
          <w:szCs w:val="28"/>
        </w:rPr>
        <w:t>)]</w:t>
      </w:r>
    </w:p>
    <w:p w14:paraId="7D9B1CB5" w14:textId="77777777" w:rsidR="008E774B" w:rsidRDefault="008E774B" w:rsidP="008E774B">
      <w:pPr>
        <w:tabs>
          <w:tab w:val="left" w:pos="210"/>
          <w:tab w:val="center" w:pos="4680"/>
        </w:tabs>
        <w:spacing w:after="0" w:line="240" w:lineRule="auto"/>
        <w:ind w:left="360"/>
        <w:contextualSpacing/>
        <w:rPr>
          <w:rFonts w:ascii="Times New Roman" w:eastAsia="Calibri" w:hAnsi="Times New Roman" w:cs="Times New Roman"/>
          <w:sz w:val="24"/>
          <w:szCs w:val="24"/>
        </w:rPr>
      </w:pPr>
      <w:r w:rsidRPr="008A3789">
        <w:rPr>
          <w:rFonts w:ascii="Times New Roman" w:eastAsia="Calibri" w:hAnsi="Times New Roman" w:cs="Times New Roman"/>
          <w:b/>
          <w:sz w:val="24"/>
          <w:szCs w:val="24"/>
          <w:u w:val="single"/>
        </w:rPr>
        <w:t>Bill Summary</w:t>
      </w:r>
      <w:r w:rsidRPr="00B41E03">
        <w:rPr>
          <w:rFonts w:ascii="Times New Roman" w:eastAsia="Calibri" w:hAnsi="Times New Roman" w:cs="Times New Roman"/>
          <w:bCs/>
          <w:sz w:val="24"/>
          <w:szCs w:val="24"/>
          <w:u w:val="single"/>
        </w:rPr>
        <w:t>:</w:t>
      </w:r>
      <w:r w:rsidRPr="00917207">
        <w:rPr>
          <w:rFonts w:ascii="Times New Roman" w:eastAsia="Calibri" w:hAnsi="Times New Roman" w:cs="Times New Roman"/>
          <w:sz w:val="24"/>
          <w:szCs w:val="24"/>
        </w:rPr>
        <w:t xml:space="preserve"> Limits co-payments for physical therapy to no more than </w:t>
      </w:r>
      <w:r>
        <w:rPr>
          <w:rFonts w:ascii="Times New Roman" w:eastAsia="Calibri" w:hAnsi="Times New Roman" w:cs="Times New Roman"/>
          <w:sz w:val="24"/>
          <w:szCs w:val="24"/>
        </w:rPr>
        <w:t xml:space="preserve">25% greater </w:t>
      </w:r>
      <w:r w:rsidRPr="00917207">
        <w:rPr>
          <w:rFonts w:ascii="Times New Roman" w:eastAsia="Calibri" w:hAnsi="Times New Roman" w:cs="Times New Roman"/>
          <w:sz w:val="24"/>
          <w:szCs w:val="24"/>
        </w:rPr>
        <w:t>th</w:t>
      </w:r>
      <w:r>
        <w:rPr>
          <w:rFonts w:ascii="Times New Roman" w:eastAsia="Calibri" w:hAnsi="Times New Roman" w:cs="Times New Roman"/>
          <w:sz w:val="24"/>
          <w:szCs w:val="24"/>
        </w:rPr>
        <w:t>an the</w:t>
      </w:r>
      <w:r w:rsidRPr="00917207">
        <w:rPr>
          <w:rFonts w:ascii="Times New Roman" w:eastAsia="Calibri" w:hAnsi="Times New Roman" w:cs="Times New Roman"/>
          <w:sz w:val="24"/>
          <w:szCs w:val="24"/>
        </w:rPr>
        <w:t xml:space="preserve"> copayment amount charged for primary care services.  This law does not mandate a fixed cost and allows for the necessary variability in patient responsibility based on plan type. It will also still allow insurance companies to impose co-pays to decrease overutilization but will protect patients from these </w:t>
      </w:r>
      <w:r>
        <w:rPr>
          <w:rFonts w:ascii="Times New Roman" w:eastAsia="Calibri" w:hAnsi="Times New Roman" w:cs="Times New Roman"/>
          <w:sz w:val="24"/>
          <w:szCs w:val="24"/>
        </w:rPr>
        <w:t xml:space="preserve"> abuse of these cost-shifting</w:t>
      </w:r>
      <w:r w:rsidRPr="00917207">
        <w:rPr>
          <w:rFonts w:ascii="Times New Roman" w:eastAsia="Calibri" w:hAnsi="Times New Roman" w:cs="Times New Roman"/>
          <w:sz w:val="24"/>
          <w:szCs w:val="24"/>
        </w:rPr>
        <w:t xml:space="preserve"> practices.</w:t>
      </w:r>
    </w:p>
    <w:p w14:paraId="42A93BEC" w14:textId="77777777" w:rsidR="008E774B" w:rsidRDefault="008E774B" w:rsidP="008E774B">
      <w:pPr>
        <w:tabs>
          <w:tab w:val="left" w:pos="210"/>
          <w:tab w:val="center" w:pos="4680"/>
        </w:tabs>
        <w:spacing w:after="0" w:line="240" w:lineRule="auto"/>
        <w:ind w:left="360"/>
        <w:contextualSpacing/>
        <w:rPr>
          <w:rFonts w:ascii="Times New Roman" w:eastAsia="Calibri" w:hAnsi="Times New Roman" w:cs="Times New Roman"/>
          <w:sz w:val="24"/>
          <w:szCs w:val="24"/>
        </w:rPr>
      </w:pPr>
    </w:p>
    <w:p w14:paraId="77AB9A51" w14:textId="59421E8F" w:rsidR="005C4940" w:rsidRDefault="005A0E0E" w:rsidP="005C4940">
      <w:pPr>
        <w:tabs>
          <w:tab w:val="left" w:pos="210"/>
          <w:tab w:val="center" w:pos="4680"/>
        </w:tabs>
        <w:spacing w:after="0" w:line="240" w:lineRule="auto"/>
        <w:ind w:left="360"/>
        <w:contextualSpacing/>
        <w:rPr>
          <w:rFonts w:ascii="Times New Roman" w:eastAsia="Calibri" w:hAnsi="Times New Roman" w:cs="Times New Roman"/>
          <w:sz w:val="24"/>
          <w:szCs w:val="24"/>
        </w:rPr>
      </w:pPr>
      <w:r w:rsidRPr="00F2367A">
        <w:rPr>
          <w:rFonts w:ascii="Times New Roman" w:eastAsia="Calibri" w:hAnsi="Times New Roman" w:cs="Times New Roman"/>
          <w:b/>
          <w:bCs/>
          <w:sz w:val="24"/>
          <w:szCs w:val="24"/>
          <w:u w:val="single"/>
        </w:rPr>
        <w:t>Summary Points</w:t>
      </w:r>
      <w:r w:rsidR="008E774B">
        <w:rPr>
          <w:rFonts w:ascii="Times New Roman" w:eastAsia="Calibri" w:hAnsi="Times New Roman" w:cs="Times New Roman"/>
          <w:sz w:val="24"/>
          <w:szCs w:val="24"/>
        </w:rPr>
        <w:t xml:space="preserve">: </w:t>
      </w:r>
    </w:p>
    <w:p w14:paraId="00DC5914" w14:textId="5862BF6A" w:rsidR="005C4940" w:rsidRDefault="008E774B" w:rsidP="008E774B">
      <w:pPr>
        <w:tabs>
          <w:tab w:val="left" w:pos="210"/>
          <w:tab w:val="center" w:pos="4680"/>
        </w:tabs>
        <w:spacing w:after="0" w:line="240" w:lineRule="auto"/>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Clinical guidelines for the management of neuromusculoskeletal pain conditions consistently recommend </w:t>
      </w:r>
      <w:r>
        <w:rPr>
          <w:rFonts w:ascii="Times New Roman" w:eastAsia="Calibri" w:hAnsi="Times New Roman" w:cs="Times New Roman"/>
          <w:i/>
          <w:iCs/>
          <w:sz w:val="24"/>
          <w:szCs w:val="24"/>
        </w:rPr>
        <w:t xml:space="preserve">nonpharmacologic treatment, </w:t>
      </w:r>
      <w:r>
        <w:rPr>
          <w:rFonts w:ascii="Times New Roman" w:eastAsia="Calibri" w:hAnsi="Times New Roman" w:cs="Times New Roman"/>
          <w:sz w:val="24"/>
          <w:szCs w:val="24"/>
        </w:rPr>
        <w:t>specifically physical therapy,</w:t>
      </w:r>
      <w:r>
        <w:rPr>
          <w:rFonts w:ascii="Times New Roman" w:eastAsia="Calibri" w:hAnsi="Times New Roman" w:cs="Times New Roman"/>
          <w:i/>
          <w:iCs/>
          <w:sz w:val="24"/>
          <w:szCs w:val="24"/>
        </w:rPr>
        <w:t xml:space="preserve"> </w:t>
      </w:r>
      <w:r>
        <w:rPr>
          <w:rFonts w:ascii="Times New Roman" w:eastAsia="Calibri" w:hAnsi="Times New Roman" w:cs="Times New Roman"/>
          <w:sz w:val="24"/>
          <w:szCs w:val="24"/>
        </w:rPr>
        <w:t xml:space="preserve">as first-line care. Yet, pharmacologic interventions, including Opioids, continue to dominate pain management, contributing substantially to Opioid addiction and increasing the likelihood that an acute pain problem becomes a chronic condition. This pattern reflects a lack of affordable care options for nonpharmacologic treatments. The current co-payment structure for physical therapy in NY continues to serve as a barrier to optimal care. </w:t>
      </w:r>
      <w:r w:rsidR="007451D2">
        <w:rPr>
          <w:rFonts w:ascii="Times New Roman" w:eastAsia="Calibri" w:hAnsi="Times New Roman" w:cs="Times New Roman"/>
          <w:sz w:val="24"/>
          <w:szCs w:val="24"/>
        </w:rPr>
        <w:t xml:space="preserve">Research has shown over and over again that insurance design and out-of-pocket costs impacts treatment decision-making. </w:t>
      </w:r>
      <w:r>
        <w:rPr>
          <w:rFonts w:ascii="Times New Roman" w:eastAsia="Calibri" w:hAnsi="Times New Roman" w:cs="Times New Roman"/>
          <w:sz w:val="24"/>
          <w:szCs w:val="24"/>
        </w:rPr>
        <w:t>As first-contact providers for pain conditions, co-payments for physical therapist services should be better aligned with those for primary care services.</w:t>
      </w:r>
      <w:r w:rsidR="005C4940">
        <w:rPr>
          <w:rFonts w:ascii="Times New Roman" w:eastAsia="Calibri" w:hAnsi="Times New Roman" w:cs="Times New Roman"/>
          <w:sz w:val="24"/>
          <w:szCs w:val="24"/>
        </w:rPr>
        <w:t xml:space="preserve"> </w:t>
      </w:r>
    </w:p>
    <w:p w14:paraId="02CF7A6E" w14:textId="77777777" w:rsidR="005C4940" w:rsidRDefault="005C4940" w:rsidP="008E774B">
      <w:pPr>
        <w:tabs>
          <w:tab w:val="left" w:pos="210"/>
          <w:tab w:val="center" w:pos="4680"/>
        </w:tabs>
        <w:spacing w:after="0" w:line="240" w:lineRule="auto"/>
        <w:ind w:left="360"/>
        <w:contextualSpacing/>
        <w:rPr>
          <w:rFonts w:ascii="Times New Roman" w:eastAsia="Calibri" w:hAnsi="Times New Roman" w:cs="Times New Roman"/>
          <w:sz w:val="24"/>
          <w:szCs w:val="24"/>
        </w:rPr>
      </w:pPr>
    </w:p>
    <w:p w14:paraId="6C98799B" w14:textId="77777777" w:rsidR="005C4940" w:rsidRDefault="005C4940" w:rsidP="005C4940">
      <w:pPr>
        <w:tabs>
          <w:tab w:val="left" w:pos="210"/>
          <w:tab w:val="center" w:pos="4680"/>
        </w:tabs>
        <w:spacing w:after="0" w:line="240" w:lineRule="auto"/>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Please note that the 2024 version of this bill was amended in 2025. Although the bill passed in both houses in 2024, it was vetoed by the governor later that year. The current version was developed in 2025 and provides more flexibility for Health Plans. </w:t>
      </w:r>
    </w:p>
    <w:p w14:paraId="6FC66C81" w14:textId="0DC28D65" w:rsidR="008E774B" w:rsidRPr="005C4940" w:rsidRDefault="008E774B" w:rsidP="005C4940">
      <w:pPr>
        <w:tabs>
          <w:tab w:val="left" w:pos="210"/>
          <w:tab w:val="center" w:pos="4680"/>
        </w:tabs>
        <w:spacing w:after="0" w:line="240" w:lineRule="auto"/>
        <w:contextualSpacing/>
        <w:rPr>
          <w:rFonts w:ascii="Times New Roman" w:eastAsia="Calibri" w:hAnsi="Times New Roman" w:cs="Times New Roman"/>
          <w:sz w:val="24"/>
          <w:szCs w:val="24"/>
          <w:u w:val="single"/>
        </w:rPr>
      </w:pPr>
      <w:r>
        <w:rPr>
          <w:rFonts w:ascii="Times New Roman" w:eastAsia="Calibri" w:hAnsi="Times New Roman" w:cs="Times New Roman"/>
          <w:sz w:val="24"/>
          <w:szCs w:val="24"/>
        </w:rPr>
        <w:t xml:space="preserve"> </w:t>
      </w:r>
    </w:p>
    <w:p w14:paraId="2A3D7DE3" w14:textId="77777777" w:rsidR="008E774B" w:rsidRPr="008A3789" w:rsidRDefault="008E774B" w:rsidP="008E774B">
      <w:pPr>
        <w:spacing w:after="0" w:line="240" w:lineRule="auto"/>
        <w:contextualSpacing/>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Talking Points:</w:t>
      </w:r>
    </w:p>
    <w:p w14:paraId="14132C08" w14:textId="77777777" w:rsidR="008E774B" w:rsidRPr="00917207" w:rsidRDefault="008E774B" w:rsidP="008E774B">
      <w:pPr>
        <w:numPr>
          <w:ilvl w:val="0"/>
          <w:numId w:val="1"/>
        </w:numPr>
        <w:spacing w:after="0" w:line="240" w:lineRule="auto"/>
        <w:contextualSpacing/>
        <w:rPr>
          <w:rFonts w:ascii="Times New Roman" w:eastAsia="Calibri" w:hAnsi="Times New Roman" w:cs="Times New Roman"/>
          <w:sz w:val="24"/>
          <w:szCs w:val="24"/>
        </w:rPr>
      </w:pPr>
      <w:r w:rsidRPr="00A614C4">
        <w:rPr>
          <w:rFonts w:ascii="Times New Roman" w:eastAsia="Calibri" w:hAnsi="Times New Roman" w:cs="Times New Roman"/>
          <w:b/>
          <w:bCs/>
          <w:sz w:val="24"/>
          <w:szCs w:val="24"/>
          <w:u w:val="single"/>
        </w:rPr>
        <w:t>Mandated Service:</w:t>
      </w:r>
      <w:r>
        <w:rPr>
          <w:rFonts w:ascii="Times New Roman" w:eastAsia="Calibri" w:hAnsi="Times New Roman" w:cs="Times New Roman"/>
          <w:sz w:val="24"/>
          <w:szCs w:val="24"/>
        </w:rPr>
        <w:t xml:space="preserve"> </w:t>
      </w:r>
      <w:r w:rsidRPr="00917207">
        <w:rPr>
          <w:rFonts w:ascii="Times New Roman" w:eastAsia="Calibri" w:hAnsi="Times New Roman" w:cs="Times New Roman"/>
          <w:sz w:val="24"/>
          <w:szCs w:val="24"/>
        </w:rPr>
        <w:t>Physical therap</w:t>
      </w:r>
      <w:r>
        <w:rPr>
          <w:rFonts w:ascii="Times New Roman" w:eastAsia="Calibri" w:hAnsi="Times New Roman" w:cs="Times New Roman"/>
          <w:sz w:val="24"/>
          <w:szCs w:val="24"/>
        </w:rPr>
        <w:t>y</w:t>
      </w:r>
      <w:r w:rsidRPr="00917207">
        <w:rPr>
          <w:rFonts w:ascii="Times New Roman" w:eastAsia="Calibri" w:hAnsi="Times New Roman" w:cs="Times New Roman"/>
          <w:sz w:val="24"/>
          <w:szCs w:val="24"/>
        </w:rPr>
        <w:t xml:space="preserve"> is an integral part of healthcare, and the Insurance Law </w:t>
      </w:r>
      <w:r w:rsidRPr="00917207">
        <w:rPr>
          <w:rFonts w:ascii="Times New Roman" w:eastAsia="Calibri" w:hAnsi="Times New Roman" w:cs="Times New Roman"/>
          <w:sz w:val="24"/>
          <w:szCs w:val="24"/>
          <w:u w:val="single"/>
        </w:rPr>
        <w:t>requires</w:t>
      </w:r>
      <w:r w:rsidRPr="00917207">
        <w:rPr>
          <w:rFonts w:ascii="Times New Roman" w:eastAsia="Calibri" w:hAnsi="Times New Roman" w:cs="Times New Roman"/>
          <w:sz w:val="24"/>
          <w:szCs w:val="24"/>
        </w:rPr>
        <w:t xml:space="preserve"> health</w:t>
      </w:r>
      <w:r>
        <w:rPr>
          <w:rFonts w:ascii="Times New Roman" w:eastAsia="Calibri" w:hAnsi="Times New Roman" w:cs="Times New Roman"/>
          <w:sz w:val="24"/>
          <w:szCs w:val="24"/>
        </w:rPr>
        <w:t xml:space="preserve"> </w:t>
      </w:r>
      <w:r w:rsidRPr="00917207">
        <w:rPr>
          <w:rFonts w:ascii="Times New Roman" w:eastAsia="Calibri" w:hAnsi="Times New Roman" w:cs="Times New Roman"/>
          <w:sz w:val="24"/>
          <w:szCs w:val="24"/>
        </w:rPr>
        <w:t xml:space="preserve">insurers to cover physical therapy services. </w:t>
      </w:r>
    </w:p>
    <w:p w14:paraId="3E8CFC15" w14:textId="77777777" w:rsidR="008E774B" w:rsidRPr="00917207" w:rsidRDefault="008E774B" w:rsidP="008E774B">
      <w:pPr>
        <w:numPr>
          <w:ilvl w:val="0"/>
          <w:numId w:val="2"/>
        </w:numPr>
        <w:spacing w:after="200" w:line="240" w:lineRule="auto"/>
        <w:contextualSpacing/>
        <w:rPr>
          <w:rFonts w:ascii="Times New Roman" w:eastAsia="Calibri" w:hAnsi="Times New Roman" w:cs="Times New Roman"/>
          <w:color w:val="000000"/>
          <w:sz w:val="24"/>
          <w:szCs w:val="24"/>
        </w:rPr>
      </w:pPr>
      <w:r w:rsidRPr="00A614C4">
        <w:rPr>
          <w:rFonts w:ascii="Times New Roman" w:eastAsia="Calibri" w:hAnsi="Times New Roman" w:cs="Times New Roman"/>
          <w:b/>
          <w:bCs/>
          <w:color w:val="000000"/>
          <w:sz w:val="24"/>
          <w:szCs w:val="24"/>
          <w:u w:val="single"/>
        </w:rPr>
        <w:t>Proven Effectiveness:</w:t>
      </w:r>
      <w:r>
        <w:rPr>
          <w:rFonts w:ascii="Times New Roman" w:eastAsia="Calibri" w:hAnsi="Times New Roman" w:cs="Times New Roman"/>
          <w:color w:val="000000"/>
          <w:sz w:val="24"/>
          <w:szCs w:val="24"/>
        </w:rPr>
        <w:t xml:space="preserve"> </w:t>
      </w:r>
      <w:r w:rsidRPr="00917207">
        <w:rPr>
          <w:rFonts w:ascii="Times New Roman" w:eastAsia="Calibri" w:hAnsi="Times New Roman" w:cs="Times New Roman"/>
          <w:color w:val="000000"/>
          <w:sz w:val="24"/>
          <w:szCs w:val="24"/>
        </w:rPr>
        <w:t xml:space="preserve">New studies are proving that physical therapy is </w:t>
      </w:r>
      <w:r w:rsidRPr="00917207">
        <w:rPr>
          <w:rFonts w:ascii="Times New Roman" w:eastAsia="Calibri" w:hAnsi="Times New Roman" w:cs="Times New Roman"/>
          <w:color w:val="000000"/>
          <w:sz w:val="24"/>
          <w:szCs w:val="24"/>
          <w:u w:val="single"/>
        </w:rPr>
        <w:t>equally or more effective than surgery</w:t>
      </w:r>
      <w:r w:rsidRPr="00917207">
        <w:rPr>
          <w:rFonts w:ascii="Times New Roman" w:eastAsia="Calibri" w:hAnsi="Times New Roman" w:cs="Times New Roman"/>
          <w:color w:val="000000"/>
          <w:sz w:val="24"/>
          <w:szCs w:val="24"/>
        </w:rPr>
        <w:t xml:space="preserve"> for managing certain conditions including knee pain, shoulder pain, and back pain.</w:t>
      </w:r>
    </w:p>
    <w:p w14:paraId="41AF8EEA" w14:textId="77777777" w:rsidR="008E774B" w:rsidRPr="00917207" w:rsidRDefault="008E774B" w:rsidP="008E774B">
      <w:pPr>
        <w:numPr>
          <w:ilvl w:val="0"/>
          <w:numId w:val="2"/>
        </w:numPr>
        <w:spacing w:after="200" w:line="240" w:lineRule="auto"/>
        <w:contextualSpacing/>
        <w:rPr>
          <w:rFonts w:ascii="Times New Roman" w:eastAsia="Calibri" w:hAnsi="Times New Roman" w:cs="Times New Roman"/>
          <w:color w:val="000000"/>
          <w:sz w:val="24"/>
          <w:szCs w:val="24"/>
        </w:rPr>
      </w:pPr>
      <w:r w:rsidRPr="00A614C4">
        <w:rPr>
          <w:rFonts w:ascii="Times New Roman" w:eastAsia="Calibri" w:hAnsi="Times New Roman" w:cs="Times New Roman"/>
          <w:b/>
          <w:bCs/>
          <w:color w:val="000000"/>
          <w:sz w:val="24"/>
          <w:szCs w:val="24"/>
          <w:u w:val="single"/>
        </w:rPr>
        <w:t>Unlimited Co-Payment Costs:</w:t>
      </w:r>
      <w:r>
        <w:rPr>
          <w:rFonts w:ascii="Times New Roman" w:eastAsia="Calibri" w:hAnsi="Times New Roman" w:cs="Times New Roman"/>
          <w:color w:val="000000"/>
          <w:sz w:val="24"/>
          <w:szCs w:val="24"/>
        </w:rPr>
        <w:t xml:space="preserve"> </w:t>
      </w:r>
      <w:r w:rsidRPr="00917207">
        <w:rPr>
          <w:rFonts w:ascii="Times New Roman" w:eastAsia="Calibri" w:hAnsi="Times New Roman" w:cs="Times New Roman"/>
          <w:color w:val="000000"/>
          <w:sz w:val="24"/>
          <w:szCs w:val="24"/>
        </w:rPr>
        <w:t>Health insurance</w:t>
      </w:r>
      <w:r>
        <w:rPr>
          <w:rFonts w:ascii="Times New Roman" w:eastAsia="Calibri" w:hAnsi="Times New Roman" w:cs="Times New Roman"/>
          <w:color w:val="000000"/>
          <w:sz w:val="24"/>
          <w:szCs w:val="24"/>
        </w:rPr>
        <w:t>-</w:t>
      </w:r>
      <w:r w:rsidRPr="00917207">
        <w:rPr>
          <w:rFonts w:ascii="Times New Roman" w:eastAsia="Calibri" w:hAnsi="Times New Roman" w:cs="Times New Roman"/>
          <w:color w:val="000000"/>
          <w:sz w:val="24"/>
          <w:szCs w:val="24"/>
        </w:rPr>
        <w:t xml:space="preserve">imposed </w:t>
      </w:r>
      <w:r w:rsidRPr="00917207">
        <w:rPr>
          <w:rFonts w:ascii="Times New Roman" w:eastAsia="Calibri" w:hAnsi="Times New Roman" w:cs="Times New Roman"/>
          <w:color w:val="000000"/>
          <w:sz w:val="24"/>
          <w:szCs w:val="24"/>
          <w:u w:val="single"/>
        </w:rPr>
        <w:t>co-pays are currently unlimited</w:t>
      </w:r>
      <w:r w:rsidRPr="00917207">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sometimes</w:t>
      </w:r>
      <w:r w:rsidRPr="00917207">
        <w:rPr>
          <w:rFonts w:ascii="Times New Roman" w:eastAsia="Calibri" w:hAnsi="Times New Roman" w:cs="Times New Roman"/>
          <w:color w:val="000000"/>
          <w:sz w:val="24"/>
          <w:szCs w:val="24"/>
        </w:rPr>
        <w:t xml:space="preserve"> equal </w:t>
      </w:r>
      <w:r>
        <w:rPr>
          <w:rFonts w:ascii="Times New Roman" w:eastAsia="Calibri" w:hAnsi="Times New Roman" w:cs="Times New Roman"/>
          <w:color w:val="000000"/>
          <w:sz w:val="24"/>
          <w:szCs w:val="24"/>
        </w:rPr>
        <w:t xml:space="preserve">to </w:t>
      </w:r>
      <w:r w:rsidRPr="00917207">
        <w:rPr>
          <w:rFonts w:ascii="Times New Roman" w:eastAsia="Calibri" w:hAnsi="Times New Roman" w:cs="Times New Roman"/>
          <w:color w:val="000000"/>
          <w:sz w:val="24"/>
          <w:szCs w:val="24"/>
        </w:rPr>
        <w:t xml:space="preserve">the actual cost of the treatment, and have put necessary physician-prescribed treatment out of the reach of many New Yorkers </w:t>
      </w:r>
      <w:r w:rsidRPr="00917207">
        <w:rPr>
          <w:rFonts w:ascii="Times New Roman" w:eastAsia="Calibri" w:hAnsi="Times New Roman" w:cs="Times New Roman"/>
          <w:color w:val="000000"/>
          <w:sz w:val="24"/>
          <w:szCs w:val="24"/>
          <w:u w:val="single"/>
        </w:rPr>
        <w:t>already paying</w:t>
      </w:r>
      <w:r w:rsidRPr="00917207">
        <w:rPr>
          <w:rFonts w:ascii="Times New Roman" w:eastAsia="Calibri" w:hAnsi="Times New Roman" w:cs="Times New Roman"/>
          <w:color w:val="000000"/>
          <w:sz w:val="24"/>
          <w:szCs w:val="24"/>
        </w:rPr>
        <w:t>.  </w:t>
      </w:r>
      <w:r w:rsidRPr="00917207">
        <w:rPr>
          <w:rFonts w:ascii="Times New Roman" w:eastAsia="Calibri" w:hAnsi="Times New Roman" w:cs="Times New Roman"/>
          <w:color w:val="000000"/>
          <w:sz w:val="24"/>
          <w:szCs w:val="24"/>
        </w:rPr>
        <w:tab/>
      </w:r>
    </w:p>
    <w:p w14:paraId="070A8652" w14:textId="77777777" w:rsidR="008E774B" w:rsidRPr="00917207" w:rsidRDefault="008E774B" w:rsidP="008E774B">
      <w:pPr>
        <w:numPr>
          <w:ilvl w:val="0"/>
          <w:numId w:val="2"/>
        </w:numPr>
        <w:spacing w:after="0"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u w:val="single"/>
        </w:rPr>
        <w:t xml:space="preserve">Inappropriate </w:t>
      </w:r>
      <w:r w:rsidRPr="00A614C4">
        <w:rPr>
          <w:rFonts w:ascii="Times New Roman" w:eastAsia="Calibri" w:hAnsi="Times New Roman" w:cs="Times New Roman"/>
          <w:b/>
          <w:bCs/>
          <w:color w:val="000000"/>
          <w:sz w:val="24"/>
          <w:szCs w:val="24"/>
          <w:u w:val="single"/>
        </w:rPr>
        <w:t>Specialist Classification:</w:t>
      </w:r>
      <w:r>
        <w:rPr>
          <w:rFonts w:ascii="Times New Roman" w:eastAsia="Calibri" w:hAnsi="Times New Roman" w:cs="Times New Roman"/>
          <w:color w:val="000000"/>
          <w:sz w:val="24"/>
          <w:szCs w:val="24"/>
        </w:rPr>
        <w:t xml:space="preserve"> </w:t>
      </w:r>
      <w:r w:rsidRPr="00917207">
        <w:rPr>
          <w:rFonts w:ascii="Times New Roman" w:eastAsia="Calibri" w:hAnsi="Times New Roman" w:cs="Times New Roman"/>
          <w:color w:val="000000"/>
          <w:sz w:val="24"/>
          <w:szCs w:val="24"/>
        </w:rPr>
        <w:t xml:space="preserve">Health plans have shifted the vast majority of the cost of physical therapy services by imposing high </w:t>
      </w:r>
      <w:r w:rsidRPr="00917207">
        <w:rPr>
          <w:rFonts w:ascii="Times New Roman" w:eastAsia="Calibri" w:hAnsi="Times New Roman" w:cs="Times New Roman"/>
          <w:color w:val="000000"/>
          <w:sz w:val="24"/>
          <w:szCs w:val="24"/>
          <w:u w:val="single"/>
        </w:rPr>
        <w:t>“specialist” copayments</w:t>
      </w:r>
      <w:r w:rsidRPr="00917207">
        <w:rPr>
          <w:rFonts w:ascii="Times New Roman" w:eastAsia="Calibri" w:hAnsi="Times New Roman" w:cs="Times New Roman"/>
          <w:color w:val="000000"/>
          <w:sz w:val="24"/>
          <w:szCs w:val="24"/>
        </w:rPr>
        <w:t xml:space="preserve"> on consumers. This category is generally reserved for higher-cost services such as care by neurologists, cardiologists, and neurosurgeons. </w:t>
      </w:r>
    </w:p>
    <w:p w14:paraId="39CFAD10" w14:textId="1E10E0D3" w:rsidR="008E774B" w:rsidRPr="00917207" w:rsidRDefault="008E774B" w:rsidP="008E774B">
      <w:pPr>
        <w:numPr>
          <w:ilvl w:val="0"/>
          <w:numId w:val="2"/>
        </w:numPr>
        <w:spacing w:after="200" w:line="240" w:lineRule="auto"/>
        <w:contextualSpacing/>
        <w:rPr>
          <w:rFonts w:ascii="Times New Roman" w:eastAsia="Calibri" w:hAnsi="Times New Roman" w:cs="Times New Roman"/>
          <w:sz w:val="24"/>
          <w:szCs w:val="24"/>
        </w:rPr>
      </w:pPr>
      <w:r>
        <w:rPr>
          <w:rFonts w:ascii="Times New Roman" w:eastAsia="Calibri" w:hAnsi="Times New Roman" w:cs="Times New Roman"/>
          <w:b/>
          <w:bCs/>
          <w:sz w:val="24"/>
          <w:szCs w:val="24"/>
          <w:u w:val="single"/>
        </w:rPr>
        <w:t xml:space="preserve">Avoiding Mandated PT Coverage: </w:t>
      </w:r>
      <w:r w:rsidRPr="00917207">
        <w:rPr>
          <w:rFonts w:ascii="Times New Roman" w:eastAsia="Calibri" w:hAnsi="Times New Roman" w:cs="Times New Roman"/>
          <w:sz w:val="24"/>
          <w:szCs w:val="24"/>
        </w:rPr>
        <w:t xml:space="preserve">Through this practice, health insurers are avoiding the Insurance Law requirement to cover physical therapy services, </w:t>
      </w:r>
      <w:r w:rsidRPr="00917207">
        <w:rPr>
          <w:rFonts w:ascii="Times New Roman" w:eastAsia="Calibri" w:hAnsi="Times New Roman" w:cs="Times New Roman"/>
          <w:sz w:val="24"/>
          <w:szCs w:val="24"/>
          <w:u w:val="single"/>
        </w:rPr>
        <w:t>severely restricting access</w:t>
      </w:r>
      <w:r w:rsidRPr="00917207">
        <w:rPr>
          <w:rFonts w:ascii="Times New Roman" w:eastAsia="Calibri" w:hAnsi="Times New Roman" w:cs="Times New Roman"/>
          <w:sz w:val="24"/>
          <w:szCs w:val="24"/>
        </w:rPr>
        <w:t xml:space="preserve"> to this important healthcare service.</w:t>
      </w:r>
    </w:p>
    <w:p w14:paraId="6F2F1E45" w14:textId="77777777" w:rsidR="008E774B" w:rsidRDefault="008E774B" w:rsidP="008E774B">
      <w:pPr>
        <w:numPr>
          <w:ilvl w:val="0"/>
          <w:numId w:val="2"/>
        </w:numPr>
        <w:spacing w:after="200" w:line="240" w:lineRule="auto"/>
        <w:contextualSpacing/>
        <w:rPr>
          <w:rFonts w:ascii="Times New Roman" w:eastAsia="Calibri" w:hAnsi="Times New Roman" w:cs="Times New Roman"/>
          <w:bCs/>
          <w:color w:val="000000"/>
          <w:sz w:val="24"/>
          <w:szCs w:val="24"/>
        </w:rPr>
      </w:pPr>
      <w:r>
        <w:rPr>
          <w:rFonts w:ascii="Times New Roman" w:eastAsia="Calibri" w:hAnsi="Times New Roman" w:cs="Times New Roman"/>
          <w:b/>
          <w:color w:val="000000"/>
          <w:sz w:val="24"/>
          <w:szCs w:val="24"/>
          <w:u w:val="single"/>
        </w:rPr>
        <w:t xml:space="preserve">National Need for Expanded PT Access: </w:t>
      </w:r>
      <w:r w:rsidRPr="00917207">
        <w:rPr>
          <w:rFonts w:ascii="Times New Roman" w:eastAsia="Calibri" w:hAnsi="Times New Roman" w:cs="Times New Roman"/>
          <w:bCs/>
          <w:color w:val="000000"/>
          <w:sz w:val="24"/>
          <w:szCs w:val="24"/>
        </w:rPr>
        <w:t xml:space="preserve">National Government agencies (CDC and HHS) are calling for greater access to non-pharmacological treatments for pain, and specifically identify </w:t>
      </w:r>
      <w:r>
        <w:rPr>
          <w:rFonts w:ascii="Times New Roman" w:eastAsia="Calibri" w:hAnsi="Times New Roman" w:cs="Times New Roman"/>
          <w:bCs/>
          <w:color w:val="000000"/>
          <w:sz w:val="24"/>
          <w:szCs w:val="24"/>
        </w:rPr>
        <w:t>physical therapy</w:t>
      </w:r>
      <w:r w:rsidRPr="00917207">
        <w:rPr>
          <w:rFonts w:ascii="Times New Roman" w:eastAsia="Calibri" w:hAnsi="Times New Roman" w:cs="Times New Roman"/>
          <w:bCs/>
          <w:color w:val="000000"/>
          <w:sz w:val="24"/>
          <w:szCs w:val="24"/>
        </w:rPr>
        <w:t xml:space="preserve"> for expanded access. </w:t>
      </w:r>
    </w:p>
    <w:p w14:paraId="7DA926A3" w14:textId="77777777" w:rsidR="008E774B" w:rsidRPr="00160C32" w:rsidRDefault="008E774B" w:rsidP="008E774B">
      <w:pPr>
        <w:numPr>
          <w:ilvl w:val="0"/>
          <w:numId w:val="2"/>
        </w:numPr>
        <w:spacing w:after="200" w:line="240" w:lineRule="auto"/>
        <w:contextualSpacing/>
        <w:rPr>
          <w:rFonts w:ascii="Times New Roman" w:eastAsia="Calibri" w:hAnsi="Times New Roman" w:cs="Times New Roman"/>
          <w:bCs/>
          <w:color w:val="000000" w:themeColor="text1"/>
          <w:sz w:val="24"/>
          <w:szCs w:val="24"/>
        </w:rPr>
      </w:pPr>
      <w:r>
        <w:rPr>
          <w:rFonts w:ascii="Times New Roman" w:eastAsia="Calibri" w:hAnsi="Times New Roman" w:cs="Times New Roman"/>
          <w:b/>
          <w:color w:val="000000" w:themeColor="text1"/>
          <w:sz w:val="24"/>
          <w:szCs w:val="24"/>
          <w:u w:val="single"/>
        </w:rPr>
        <w:lastRenderedPageBreak/>
        <w:t xml:space="preserve">Supported by Best Practice Guidelines: </w:t>
      </w:r>
      <w:r w:rsidRPr="00160C32">
        <w:rPr>
          <w:rFonts w:ascii="Times New Roman" w:eastAsia="Calibri" w:hAnsi="Times New Roman" w:cs="Times New Roman"/>
          <w:bCs/>
          <w:color w:val="000000" w:themeColor="text1"/>
          <w:sz w:val="24"/>
          <w:szCs w:val="24"/>
        </w:rPr>
        <w:t xml:space="preserve">National treatment guidelines for back pain now recommend </w:t>
      </w:r>
      <w:r w:rsidRPr="00160C32">
        <w:rPr>
          <w:rFonts w:ascii="Times New Roman" w:eastAsia="Calibri" w:hAnsi="Times New Roman" w:cs="Times New Roman"/>
          <w:b/>
          <w:color w:val="000000" w:themeColor="text1"/>
          <w:sz w:val="24"/>
          <w:szCs w:val="24"/>
        </w:rPr>
        <w:t>non-pharmacologic treatment</w:t>
      </w:r>
      <w:r w:rsidRPr="00160C32">
        <w:rPr>
          <w:rFonts w:ascii="Times New Roman" w:eastAsia="Calibri" w:hAnsi="Times New Roman" w:cs="Times New Roman"/>
          <w:bCs/>
          <w:color w:val="000000" w:themeColor="text1"/>
          <w:sz w:val="24"/>
          <w:szCs w:val="24"/>
        </w:rPr>
        <w:t xml:space="preserve"> as the </w:t>
      </w:r>
      <w:r w:rsidRPr="00160C32">
        <w:rPr>
          <w:rFonts w:ascii="Times New Roman" w:eastAsia="Calibri" w:hAnsi="Times New Roman" w:cs="Times New Roman"/>
          <w:b/>
          <w:color w:val="000000" w:themeColor="text1"/>
          <w:sz w:val="24"/>
          <w:szCs w:val="24"/>
        </w:rPr>
        <w:t>first line</w:t>
      </w:r>
      <w:r w:rsidRPr="00160C32">
        <w:rPr>
          <w:rFonts w:ascii="Times New Roman" w:eastAsia="Calibri" w:hAnsi="Times New Roman" w:cs="Times New Roman"/>
          <w:bCs/>
          <w:color w:val="000000" w:themeColor="text1"/>
          <w:sz w:val="24"/>
          <w:szCs w:val="24"/>
        </w:rPr>
        <w:t xml:space="preserve"> of care for most patients. </w:t>
      </w:r>
    </w:p>
    <w:p w14:paraId="5D3C38DE" w14:textId="77777777" w:rsidR="008E774B" w:rsidRPr="00917207" w:rsidRDefault="008E774B" w:rsidP="008E774B">
      <w:pPr>
        <w:numPr>
          <w:ilvl w:val="0"/>
          <w:numId w:val="2"/>
        </w:numPr>
        <w:spacing w:after="0"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u w:val="single"/>
        </w:rPr>
        <w:t xml:space="preserve">Improved Access Leads to Lower Utilization: </w:t>
      </w:r>
      <w:r w:rsidRPr="00917207">
        <w:rPr>
          <w:rFonts w:ascii="Times New Roman" w:eastAsia="Calibri" w:hAnsi="Times New Roman" w:cs="Times New Roman"/>
          <w:bCs/>
          <w:color w:val="000000"/>
          <w:sz w:val="24"/>
          <w:szCs w:val="24"/>
        </w:rPr>
        <w:t>Evidence suggests that</w:t>
      </w:r>
      <w:r w:rsidRPr="00917207">
        <w:rPr>
          <w:rFonts w:ascii="Times New Roman" w:eastAsia="Calibri" w:hAnsi="Times New Roman" w:cs="Times New Roman"/>
          <w:b/>
          <w:bCs/>
          <w:color w:val="000000"/>
          <w:sz w:val="24"/>
          <w:szCs w:val="24"/>
        </w:rPr>
        <w:t xml:space="preserve"> early referral and regular participation </w:t>
      </w:r>
      <w:r w:rsidRPr="00917207">
        <w:rPr>
          <w:rFonts w:ascii="Times New Roman" w:eastAsia="Calibri" w:hAnsi="Times New Roman" w:cs="Times New Roman"/>
          <w:color w:val="000000"/>
          <w:sz w:val="24"/>
          <w:szCs w:val="24"/>
        </w:rPr>
        <w:t xml:space="preserve">in guideline adherent </w:t>
      </w:r>
      <w:r>
        <w:rPr>
          <w:rFonts w:ascii="Times New Roman" w:eastAsia="Calibri" w:hAnsi="Times New Roman" w:cs="Times New Roman"/>
          <w:color w:val="000000"/>
          <w:sz w:val="24"/>
          <w:szCs w:val="24"/>
        </w:rPr>
        <w:t>physical therapy</w:t>
      </w:r>
      <w:r w:rsidRPr="00917207">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t</w:t>
      </w:r>
      <w:r w:rsidRPr="00917207">
        <w:rPr>
          <w:rFonts w:ascii="Times New Roman" w:eastAsia="Calibri" w:hAnsi="Times New Roman" w:cs="Times New Roman"/>
          <w:color w:val="000000"/>
          <w:sz w:val="24"/>
          <w:szCs w:val="24"/>
        </w:rPr>
        <w:t xml:space="preserve">reatment was associated with </w:t>
      </w:r>
      <w:r w:rsidRPr="00917207">
        <w:rPr>
          <w:rFonts w:ascii="Times New Roman" w:eastAsia="Calibri" w:hAnsi="Times New Roman" w:cs="Times New Roman"/>
          <w:b/>
          <w:bCs/>
          <w:color w:val="000000"/>
          <w:sz w:val="24"/>
          <w:szCs w:val="24"/>
        </w:rPr>
        <w:t xml:space="preserve">lower utilization </w:t>
      </w:r>
      <w:r w:rsidRPr="00917207">
        <w:rPr>
          <w:rFonts w:ascii="Times New Roman" w:eastAsia="Calibri" w:hAnsi="Times New Roman" w:cs="Times New Roman"/>
          <w:color w:val="000000"/>
          <w:sz w:val="24"/>
          <w:szCs w:val="24"/>
        </w:rPr>
        <w:t xml:space="preserve">of advanced imaging, lumbar spine injections, lumbar spine surgery &amp; use of opioids. Overall costs related to low back pain-related </w:t>
      </w:r>
      <w:r w:rsidRPr="00917207">
        <w:rPr>
          <w:rFonts w:ascii="Times New Roman" w:eastAsia="Calibri" w:hAnsi="Times New Roman" w:cs="Times New Roman"/>
          <w:b/>
          <w:bCs/>
          <w:color w:val="000000"/>
          <w:sz w:val="24"/>
          <w:szCs w:val="24"/>
        </w:rPr>
        <w:t>costs</w:t>
      </w:r>
      <w:r w:rsidRPr="00917207">
        <w:rPr>
          <w:rFonts w:ascii="Times New Roman" w:eastAsia="Calibri" w:hAnsi="Times New Roman" w:cs="Times New Roman"/>
          <w:color w:val="000000"/>
          <w:sz w:val="24"/>
          <w:szCs w:val="24"/>
        </w:rPr>
        <w:t xml:space="preserve"> were </w:t>
      </w:r>
      <w:r w:rsidRPr="00917207">
        <w:rPr>
          <w:rFonts w:ascii="Times New Roman" w:eastAsia="Calibri" w:hAnsi="Times New Roman" w:cs="Times New Roman"/>
          <w:b/>
          <w:bCs/>
          <w:color w:val="000000"/>
          <w:sz w:val="24"/>
          <w:szCs w:val="24"/>
        </w:rPr>
        <w:t xml:space="preserve">60% lower” </w:t>
      </w:r>
      <w:r w:rsidRPr="00917207">
        <w:rPr>
          <w:rFonts w:ascii="Times New Roman" w:eastAsia="Calibri" w:hAnsi="Times New Roman" w:cs="Times New Roman"/>
          <w:bCs/>
          <w:color w:val="000000"/>
          <w:sz w:val="24"/>
          <w:szCs w:val="24"/>
        </w:rPr>
        <w:t>– Childs et al, 2015</w:t>
      </w:r>
      <w:r w:rsidRPr="00917207">
        <w:rPr>
          <w:rFonts w:ascii="Times New Roman" w:eastAsia="Calibri" w:hAnsi="Times New Roman" w:cs="Times New Roman"/>
          <w:bCs/>
          <w:color w:val="000000"/>
          <w:sz w:val="24"/>
          <w:szCs w:val="24"/>
          <w:vertAlign w:val="superscript"/>
        </w:rPr>
        <w:t>1</w:t>
      </w:r>
      <w:r w:rsidRPr="00917207">
        <w:rPr>
          <w:rFonts w:ascii="Times New Roman" w:eastAsia="Calibri" w:hAnsi="Times New Roman" w:cs="Times New Roman"/>
          <w:bCs/>
          <w:color w:val="000000"/>
          <w:sz w:val="24"/>
          <w:szCs w:val="24"/>
        </w:rPr>
        <w:t xml:space="preserve"> </w:t>
      </w:r>
    </w:p>
    <w:p w14:paraId="6A5E8E03" w14:textId="77777777" w:rsidR="008E774B" w:rsidRPr="00917207" w:rsidRDefault="008E774B" w:rsidP="008E774B">
      <w:pPr>
        <w:numPr>
          <w:ilvl w:val="0"/>
          <w:numId w:val="2"/>
        </w:numPr>
        <w:spacing w:after="200"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u w:val="single"/>
        </w:rPr>
        <w:t xml:space="preserve">Improved Access Reduces Healthcare Costs: </w:t>
      </w:r>
      <w:r w:rsidRPr="002754D5">
        <w:rPr>
          <w:rFonts w:ascii="Times New Roman" w:eastAsia="Calibri" w:hAnsi="Times New Roman" w:cs="Times New Roman"/>
          <w:color w:val="000000"/>
          <w:sz w:val="24"/>
          <w:szCs w:val="24"/>
        </w:rPr>
        <w:t xml:space="preserve">High co-pays are limiting necessary physical therapy, resulting in unnecessary surgery, epidural injections, and expensive imaging studies.  High out-of-pocket payments may result in reduced </w:t>
      </w:r>
      <w:r w:rsidRPr="002754D5">
        <w:rPr>
          <w:rFonts w:ascii="Times New Roman" w:eastAsia="Calibri" w:hAnsi="Times New Roman" w:cs="Times New Roman"/>
          <w:b/>
          <w:bCs/>
          <w:color w:val="000000"/>
          <w:sz w:val="24"/>
          <w:szCs w:val="24"/>
        </w:rPr>
        <w:t>access</w:t>
      </w:r>
      <w:r w:rsidRPr="002754D5">
        <w:rPr>
          <w:rFonts w:ascii="Times New Roman" w:eastAsia="Calibri" w:hAnsi="Times New Roman" w:cs="Times New Roman"/>
          <w:color w:val="000000"/>
          <w:sz w:val="24"/>
          <w:szCs w:val="24"/>
        </w:rPr>
        <w:t xml:space="preserve"> to </w:t>
      </w:r>
      <w:r>
        <w:rPr>
          <w:rFonts w:ascii="Times New Roman" w:eastAsia="Calibri" w:hAnsi="Times New Roman" w:cs="Times New Roman"/>
          <w:color w:val="000000"/>
          <w:sz w:val="24"/>
          <w:szCs w:val="24"/>
        </w:rPr>
        <w:t>physical therapy</w:t>
      </w:r>
      <w:r w:rsidRPr="002754D5">
        <w:rPr>
          <w:rFonts w:ascii="Times New Roman" w:eastAsia="Calibri" w:hAnsi="Times New Roman" w:cs="Times New Roman"/>
          <w:color w:val="000000"/>
          <w:sz w:val="24"/>
          <w:szCs w:val="24"/>
        </w:rPr>
        <w:t xml:space="preserve"> by patients with Low Back Pain (LBP); reduced health- </w:t>
      </w:r>
      <w:r w:rsidRPr="00917207">
        <w:rPr>
          <w:rFonts w:ascii="Times New Roman" w:eastAsia="Calibri" w:hAnsi="Times New Roman" w:cs="Times New Roman"/>
          <w:color w:val="000000"/>
          <w:sz w:val="24"/>
          <w:szCs w:val="24"/>
        </w:rPr>
        <w:t xml:space="preserve">related </w:t>
      </w:r>
      <w:r w:rsidRPr="00917207">
        <w:rPr>
          <w:rFonts w:ascii="Times New Roman" w:eastAsia="Calibri" w:hAnsi="Times New Roman" w:cs="Times New Roman"/>
          <w:b/>
          <w:bCs/>
          <w:color w:val="000000"/>
          <w:sz w:val="24"/>
          <w:szCs w:val="24"/>
        </w:rPr>
        <w:t>quality of life</w:t>
      </w:r>
      <w:r w:rsidRPr="00917207">
        <w:rPr>
          <w:rFonts w:ascii="Times New Roman" w:eastAsia="Calibri" w:hAnsi="Times New Roman" w:cs="Times New Roman"/>
          <w:color w:val="000000"/>
          <w:sz w:val="24"/>
          <w:szCs w:val="24"/>
        </w:rPr>
        <w:t xml:space="preserve">; and increased </w:t>
      </w:r>
      <w:r w:rsidRPr="00917207">
        <w:rPr>
          <w:rFonts w:ascii="Times New Roman" w:eastAsia="Calibri" w:hAnsi="Times New Roman" w:cs="Times New Roman"/>
          <w:b/>
          <w:bCs/>
          <w:color w:val="000000"/>
          <w:sz w:val="24"/>
          <w:szCs w:val="24"/>
        </w:rPr>
        <w:t>downstream costs</w:t>
      </w:r>
      <w:r w:rsidRPr="00917207">
        <w:rPr>
          <w:rFonts w:ascii="Times New Roman" w:eastAsia="Calibri" w:hAnsi="Times New Roman" w:cs="Times New Roman"/>
          <w:color w:val="000000"/>
          <w:sz w:val="24"/>
          <w:szCs w:val="24"/>
        </w:rPr>
        <w:t xml:space="preserve">, </w:t>
      </w:r>
      <w:r w:rsidRPr="00917207">
        <w:rPr>
          <w:rFonts w:ascii="Times New Roman" w:eastAsia="Calibri" w:hAnsi="Times New Roman" w:cs="Times New Roman"/>
          <w:b/>
          <w:bCs/>
          <w:color w:val="000000"/>
          <w:sz w:val="24"/>
          <w:szCs w:val="24"/>
        </w:rPr>
        <w:t>chronicity</w:t>
      </w:r>
      <w:r w:rsidRPr="00917207">
        <w:rPr>
          <w:rFonts w:ascii="Times New Roman" w:eastAsia="Calibri" w:hAnsi="Times New Roman" w:cs="Times New Roman"/>
          <w:color w:val="000000"/>
          <w:sz w:val="24"/>
          <w:szCs w:val="24"/>
        </w:rPr>
        <w:t xml:space="preserve">, and </w:t>
      </w:r>
      <w:r w:rsidRPr="00917207">
        <w:rPr>
          <w:rFonts w:ascii="Times New Roman" w:eastAsia="Calibri" w:hAnsi="Times New Roman" w:cs="Times New Roman"/>
          <w:b/>
          <w:bCs/>
          <w:color w:val="000000"/>
          <w:sz w:val="24"/>
          <w:szCs w:val="24"/>
        </w:rPr>
        <w:t>disability</w:t>
      </w:r>
      <w:r w:rsidRPr="00917207">
        <w:rPr>
          <w:rFonts w:ascii="Times New Roman" w:eastAsia="Calibri" w:hAnsi="Times New Roman" w:cs="Times New Roman"/>
          <w:color w:val="000000"/>
          <w:sz w:val="24"/>
          <w:szCs w:val="24"/>
        </w:rPr>
        <w:t xml:space="preserve"> (Dolot et al, 2016)</w:t>
      </w:r>
      <w:r w:rsidRPr="00917207">
        <w:rPr>
          <w:rFonts w:ascii="Times New Roman" w:eastAsia="Calibri" w:hAnsi="Times New Roman" w:cs="Times New Roman"/>
          <w:color w:val="000000"/>
          <w:sz w:val="24"/>
          <w:szCs w:val="24"/>
          <w:vertAlign w:val="superscript"/>
        </w:rPr>
        <w:t>2</w:t>
      </w:r>
      <w:r w:rsidRPr="00917207">
        <w:rPr>
          <w:rFonts w:ascii="Times New Roman" w:eastAsia="Calibri" w:hAnsi="Times New Roman" w:cs="Times New Roman"/>
          <w:color w:val="000000"/>
          <w:sz w:val="24"/>
          <w:szCs w:val="24"/>
        </w:rPr>
        <w:t>. Additionally, high copays disproportionately impact low-income individuals (Kiil, 2014)</w:t>
      </w:r>
      <w:r w:rsidRPr="00917207">
        <w:rPr>
          <w:rFonts w:ascii="Times New Roman" w:eastAsia="Calibri" w:hAnsi="Times New Roman" w:cs="Times New Roman"/>
          <w:color w:val="000000"/>
          <w:sz w:val="24"/>
          <w:szCs w:val="24"/>
          <w:vertAlign w:val="superscript"/>
        </w:rPr>
        <w:t>3</w:t>
      </w:r>
      <w:r w:rsidRPr="00917207">
        <w:rPr>
          <w:rFonts w:ascii="Times New Roman" w:eastAsia="Calibri" w:hAnsi="Times New Roman" w:cs="Times New Roman"/>
          <w:color w:val="000000"/>
          <w:sz w:val="24"/>
          <w:szCs w:val="24"/>
        </w:rPr>
        <w:t xml:space="preserve">. </w:t>
      </w:r>
    </w:p>
    <w:p w14:paraId="487B0279" w14:textId="77777777" w:rsidR="008E774B" w:rsidRPr="00A614C4" w:rsidRDefault="008E774B" w:rsidP="008E774B">
      <w:pPr>
        <w:numPr>
          <w:ilvl w:val="0"/>
          <w:numId w:val="2"/>
        </w:numPr>
        <w:spacing w:after="200" w:line="276" w:lineRule="auto"/>
        <w:contextualSpacing/>
        <w:rPr>
          <w:rFonts w:ascii="Times New Roman" w:eastAsia="Calibri" w:hAnsi="Times New Roman" w:cs="Times New Roman"/>
          <w:color w:val="000000"/>
          <w:sz w:val="24"/>
          <w:szCs w:val="24"/>
        </w:rPr>
      </w:pPr>
      <w:r w:rsidRPr="00917207">
        <w:rPr>
          <w:rFonts w:ascii="Times New Roman" w:eastAsia="Calibri" w:hAnsi="Times New Roman" w:cs="Times New Roman"/>
          <w:color w:val="000000"/>
          <w:sz w:val="24"/>
          <w:szCs w:val="24"/>
        </w:rPr>
        <w:t xml:space="preserve"> </w:t>
      </w:r>
      <w:r>
        <w:rPr>
          <w:rFonts w:ascii="Times New Roman" w:eastAsia="Calibri" w:hAnsi="Times New Roman" w:cs="Times New Roman"/>
          <w:b/>
          <w:bCs/>
          <w:color w:val="000000"/>
          <w:sz w:val="24"/>
          <w:szCs w:val="24"/>
          <w:u w:val="single"/>
        </w:rPr>
        <w:t xml:space="preserve">PT Reduces Opioid Use by Up to 90%: </w:t>
      </w:r>
      <w:r>
        <w:rPr>
          <w:rFonts w:ascii="Times New Roman" w:eastAsia="Calibri" w:hAnsi="Times New Roman" w:cs="Times New Roman"/>
          <w:color w:val="000000"/>
          <w:sz w:val="24"/>
          <w:szCs w:val="24"/>
        </w:rPr>
        <w:t>D</w:t>
      </w:r>
      <w:r w:rsidRPr="00917207">
        <w:rPr>
          <w:rFonts w:ascii="Times New Roman" w:eastAsia="Calibri" w:hAnsi="Times New Roman" w:cs="Times New Roman"/>
          <w:color w:val="000000"/>
          <w:sz w:val="24"/>
          <w:szCs w:val="24"/>
        </w:rPr>
        <w:t xml:space="preserve">ata from Optum suggests that when individuals utilize </w:t>
      </w:r>
      <w:r>
        <w:rPr>
          <w:rFonts w:ascii="Times New Roman" w:eastAsia="Calibri" w:hAnsi="Times New Roman" w:cs="Times New Roman"/>
          <w:color w:val="000000"/>
          <w:sz w:val="24"/>
          <w:szCs w:val="24"/>
        </w:rPr>
        <w:t>physical therapy</w:t>
      </w:r>
      <w:r w:rsidRPr="00917207">
        <w:rPr>
          <w:rFonts w:ascii="Times New Roman" w:eastAsia="Calibri" w:hAnsi="Times New Roman" w:cs="Times New Roman"/>
          <w:color w:val="000000"/>
          <w:sz w:val="24"/>
          <w:szCs w:val="24"/>
        </w:rPr>
        <w:t xml:space="preserve"> for LBP as their entry point into the healthcare system, they are 75-90% less likely to receive opioids. However, patients were found to be 25% less likely to participate in </w:t>
      </w:r>
      <w:r>
        <w:rPr>
          <w:rFonts w:ascii="Times New Roman" w:eastAsia="Calibri" w:hAnsi="Times New Roman" w:cs="Times New Roman"/>
          <w:color w:val="000000"/>
          <w:sz w:val="24"/>
          <w:szCs w:val="24"/>
        </w:rPr>
        <w:t>physical therapy</w:t>
      </w:r>
      <w:r w:rsidRPr="00917207">
        <w:rPr>
          <w:rFonts w:ascii="Times New Roman" w:eastAsia="Calibri" w:hAnsi="Times New Roman" w:cs="Times New Roman"/>
          <w:color w:val="000000"/>
          <w:sz w:val="24"/>
          <w:szCs w:val="24"/>
        </w:rPr>
        <w:t xml:space="preserve"> if their copayment was more than $20 per visit.</w:t>
      </w:r>
      <w:r w:rsidRPr="00917207">
        <w:rPr>
          <w:rFonts w:ascii="Times New Roman" w:eastAsia="Calibri" w:hAnsi="Times New Roman" w:cs="Times New Roman"/>
          <w:color w:val="000000"/>
          <w:sz w:val="24"/>
          <w:szCs w:val="24"/>
          <w:vertAlign w:val="superscript"/>
        </w:rPr>
        <w:t xml:space="preserve"> 4</w:t>
      </w:r>
    </w:p>
    <w:p w14:paraId="321ABFB0" w14:textId="05231E1E" w:rsidR="008E774B" w:rsidRPr="00917207" w:rsidRDefault="008E774B" w:rsidP="008E774B">
      <w:pPr>
        <w:numPr>
          <w:ilvl w:val="0"/>
          <w:numId w:val="2"/>
        </w:numPr>
        <w:spacing w:after="200" w:line="276" w:lineRule="auto"/>
        <w:contextualSpacing/>
        <w:rPr>
          <w:rFonts w:ascii="Times New Roman" w:eastAsia="Calibri" w:hAnsi="Times New Roman" w:cs="Times New Roman"/>
          <w:color w:val="000000"/>
          <w:sz w:val="24"/>
          <w:szCs w:val="24"/>
        </w:rPr>
      </w:pPr>
      <w:r>
        <w:rPr>
          <w:rFonts w:ascii="Times New Roman" w:eastAsia="Calibri" w:hAnsi="Times New Roman" w:cs="Times New Roman"/>
          <w:b/>
          <w:bCs/>
          <w:color w:val="000000" w:themeColor="text1"/>
          <w:sz w:val="24"/>
          <w:szCs w:val="24"/>
          <w:u w:val="single"/>
        </w:rPr>
        <w:t xml:space="preserve">Aligned with Other State Initiatives: </w:t>
      </w:r>
      <w:r w:rsidRPr="00930648">
        <w:rPr>
          <w:rFonts w:ascii="Times New Roman" w:eastAsia="Calibri" w:hAnsi="Times New Roman" w:cs="Times New Roman"/>
          <w:color w:val="000000" w:themeColor="text1"/>
          <w:sz w:val="24"/>
          <w:szCs w:val="24"/>
        </w:rPr>
        <w:t>On December 23, 2022, governor Hochul signed into law a bill (S4640/A00273) requiring that “when patients seek care for any neuromusculoskeletal pain condition, the practitioner must consider, discuss and when appropriate, refer or prescribe non-opioid treatments” – including treatments rendered by physical therapists. The need for affordable, non-opioid treatments are directly linked to efforts to reduce utilization of Opioids in NYS.</w:t>
      </w:r>
    </w:p>
    <w:p w14:paraId="60877F9D" w14:textId="77777777" w:rsidR="008E774B" w:rsidRDefault="008E774B" w:rsidP="008E774B">
      <w:pPr>
        <w:tabs>
          <w:tab w:val="left" w:pos="210"/>
          <w:tab w:val="center" w:pos="4680"/>
        </w:tabs>
        <w:spacing w:after="0" w:line="240" w:lineRule="auto"/>
        <w:contextualSpacing/>
        <w:rPr>
          <w:rFonts w:ascii="Times New Roman" w:eastAsia="Calibri" w:hAnsi="Times New Roman" w:cs="Times New Roman"/>
          <w:sz w:val="24"/>
          <w:szCs w:val="24"/>
          <w:u w:val="single"/>
        </w:rPr>
      </w:pPr>
    </w:p>
    <w:p w14:paraId="49378359" w14:textId="77777777" w:rsidR="008E774B" w:rsidRDefault="008E774B" w:rsidP="008E774B">
      <w:pPr>
        <w:tabs>
          <w:tab w:val="left" w:pos="210"/>
          <w:tab w:val="center" w:pos="4680"/>
        </w:tabs>
        <w:spacing w:after="0" w:line="240" w:lineRule="auto"/>
        <w:ind w:left="360"/>
        <w:contextualSpacing/>
        <w:rPr>
          <w:rFonts w:ascii="Times New Roman" w:eastAsia="Calibri" w:hAnsi="Times New Roman" w:cs="Times New Roman"/>
        </w:rPr>
      </w:pPr>
      <w:r>
        <w:rPr>
          <w:rFonts w:ascii="Times New Roman" w:eastAsia="Calibri" w:hAnsi="Times New Roman" w:cs="Times New Roman"/>
        </w:rPr>
        <w:t>References:</w:t>
      </w:r>
    </w:p>
    <w:p w14:paraId="71B6DAF3" w14:textId="77777777" w:rsidR="008E774B" w:rsidRDefault="008E774B" w:rsidP="008E774B">
      <w:pPr>
        <w:pStyle w:val="ListParagraph"/>
        <w:numPr>
          <w:ilvl w:val="0"/>
          <w:numId w:val="3"/>
        </w:numPr>
        <w:tabs>
          <w:tab w:val="left" w:pos="210"/>
          <w:tab w:val="center" w:pos="4680"/>
        </w:tabs>
        <w:spacing w:after="0" w:line="240" w:lineRule="auto"/>
        <w:rPr>
          <w:rFonts w:ascii="Times New Roman" w:eastAsia="Calibri" w:hAnsi="Times New Roman" w:cs="Times New Roman"/>
        </w:rPr>
      </w:pPr>
      <w:r>
        <w:rPr>
          <w:rFonts w:ascii="Times New Roman" w:eastAsia="Calibri" w:hAnsi="Times New Roman" w:cs="Times New Roman"/>
        </w:rPr>
        <w:t>Childs et al. Implications of early and guideline adherent physical therapy for low back pain on utilization and costs. BMC health Serv Res. 2015. April 9; 15:150.</w:t>
      </w:r>
    </w:p>
    <w:p w14:paraId="0EFA9284" w14:textId="77777777" w:rsidR="008E774B" w:rsidRDefault="008E774B" w:rsidP="008E774B">
      <w:pPr>
        <w:pStyle w:val="ListParagraph"/>
        <w:numPr>
          <w:ilvl w:val="0"/>
          <w:numId w:val="3"/>
        </w:numPr>
        <w:tabs>
          <w:tab w:val="left" w:pos="210"/>
          <w:tab w:val="center" w:pos="4680"/>
        </w:tabs>
        <w:spacing w:after="0" w:line="240" w:lineRule="auto"/>
        <w:rPr>
          <w:rFonts w:ascii="Times New Roman" w:eastAsia="Calibri" w:hAnsi="Times New Roman" w:cs="Times New Roman"/>
        </w:rPr>
      </w:pPr>
      <w:r>
        <w:rPr>
          <w:rFonts w:ascii="Times New Roman" w:eastAsia="Calibri" w:hAnsi="Times New Roman" w:cs="Times New Roman"/>
        </w:rPr>
        <w:t xml:space="preserve">Dolot et al. Impact of out-of-pocket expenditure on physical therapy utilization for nonspecific low back pain: secondary analysis of the medical expenditure panel survey data. 2016. 96 (20; 212-221. </w:t>
      </w:r>
    </w:p>
    <w:p w14:paraId="3DD39D8E" w14:textId="77777777" w:rsidR="008E774B" w:rsidRDefault="008E774B" w:rsidP="008E774B">
      <w:pPr>
        <w:pStyle w:val="ListParagraph"/>
        <w:numPr>
          <w:ilvl w:val="0"/>
          <w:numId w:val="3"/>
        </w:numPr>
        <w:tabs>
          <w:tab w:val="left" w:pos="210"/>
          <w:tab w:val="center" w:pos="4680"/>
        </w:tabs>
        <w:spacing w:after="0" w:line="240" w:lineRule="auto"/>
        <w:rPr>
          <w:rFonts w:ascii="Times New Roman" w:eastAsia="Calibri" w:hAnsi="Times New Roman" w:cs="Times New Roman"/>
        </w:rPr>
      </w:pPr>
      <w:r>
        <w:rPr>
          <w:rFonts w:ascii="Times New Roman" w:eastAsia="Calibri" w:hAnsi="Times New Roman" w:cs="Times New Roman"/>
        </w:rPr>
        <w:t xml:space="preserve">Kiil A, Houlberg K. How does copayment for health care services affect demand, health and redistribution? A systematic review of the empirical evidence from 1990 to 2011. The European J of Health Economics. 2014. 15 (8): 813-828. </w:t>
      </w:r>
      <w:hyperlink r:id="rId5" w:history="1">
        <w:r w:rsidRPr="006E2017">
          <w:rPr>
            <w:rStyle w:val="Hyperlink"/>
            <w:rFonts w:ascii="Times New Roman" w:eastAsia="Calibri" w:hAnsi="Times New Roman" w:cs="Times New Roman"/>
          </w:rPr>
          <w:t>https://www.jstor.org/stable/24033091</w:t>
        </w:r>
      </w:hyperlink>
    </w:p>
    <w:p w14:paraId="7A5034FD" w14:textId="77777777" w:rsidR="008E774B" w:rsidRDefault="008E774B" w:rsidP="008E774B">
      <w:pPr>
        <w:pStyle w:val="ListParagraph"/>
        <w:numPr>
          <w:ilvl w:val="0"/>
          <w:numId w:val="3"/>
        </w:numPr>
        <w:tabs>
          <w:tab w:val="left" w:pos="210"/>
          <w:tab w:val="center" w:pos="4680"/>
        </w:tabs>
        <w:spacing w:after="0" w:line="240" w:lineRule="auto"/>
        <w:rPr>
          <w:rFonts w:ascii="Times New Roman" w:eastAsia="Calibri" w:hAnsi="Times New Roman" w:cs="Times New Roman"/>
        </w:rPr>
      </w:pPr>
      <w:r>
        <w:rPr>
          <w:rFonts w:ascii="Times New Roman" w:eastAsia="Calibri" w:hAnsi="Times New Roman" w:cs="Times New Roman"/>
        </w:rPr>
        <w:t xml:space="preserve">PTs Over Painkillers: A Data Centric Approach to Managing America’s Opioid Crisis. Presented by David Elton of Optum, </w:t>
      </w:r>
      <w:proofErr w:type="spellStart"/>
      <w:r>
        <w:rPr>
          <w:rFonts w:ascii="Times New Roman" w:eastAsia="Calibri" w:hAnsi="Times New Roman" w:cs="Times New Roman"/>
        </w:rPr>
        <w:t>WebPT</w:t>
      </w:r>
      <w:proofErr w:type="spellEnd"/>
      <w:r>
        <w:rPr>
          <w:rFonts w:ascii="Times New Roman" w:eastAsia="Calibri" w:hAnsi="Times New Roman" w:cs="Times New Roman"/>
        </w:rPr>
        <w:t xml:space="preserve"> Ascend Conference 2018. </w:t>
      </w:r>
    </w:p>
    <w:p w14:paraId="153F5BF4" w14:textId="160597FB" w:rsidR="007451D2" w:rsidRPr="007451D2" w:rsidRDefault="007451D2" w:rsidP="008E774B">
      <w:pPr>
        <w:pStyle w:val="ListParagraph"/>
        <w:numPr>
          <w:ilvl w:val="0"/>
          <w:numId w:val="3"/>
        </w:numPr>
        <w:tabs>
          <w:tab w:val="left" w:pos="210"/>
          <w:tab w:val="center" w:pos="4680"/>
        </w:tabs>
        <w:spacing w:after="0" w:line="240" w:lineRule="auto"/>
        <w:rPr>
          <w:rFonts w:ascii="Times New Roman" w:eastAsia="Calibri" w:hAnsi="Times New Roman" w:cs="Times New Roman"/>
        </w:rPr>
      </w:pPr>
      <w:r w:rsidRPr="007451D2">
        <w:rPr>
          <w:rFonts w:ascii="Times New Roman" w:hAnsi="Times New Roman" w:cs="Times New Roman"/>
          <w:color w:val="212121"/>
          <w:shd w:val="clear" w:color="auto" w:fill="FFFFFF"/>
        </w:rPr>
        <w:t>Doherty B, Hooks K, Neumann U, Peters W, Zona S, Shea L. Patient Perspectives on Health Insurance Design: A Mixed-Methods Analysis. J Mark Access Health Policy. 2025 Nov 14;13(4):56.</w:t>
      </w:r>
    </w:p>
    <w:p w14:paraId="21D67DAD" w14:textId="7B349FC8" w:rsidR="007451D2" w:rsidRPr="007451D2" w:rsidRDefault="007451D2" w:rsidP="008E774B">
      <w:pPr>
        <w:pStyle w:val="ListParagraph"/>
        <w:numPr>
          <w:ilvl w:val="0"/>
          <w:numId w:val="3"/>
        </w:numPr>
        <w:tabs>
          <w:tab w:val="left" w:pos="210"/>
          <w:tab w:val="center" w:pos="4680"/>
        </w:tabs>
        <w:spacing w:after="0" w:line="240" w:lineRule="auto"/>
        <w:rPr>
          <w:rFonts w:ascii="Times New Roman" w:eastAsia="Calibri" w:hAnsi="Times New Roman" w:cs="Times New Roman"/>
        </w:rPr>
      </w:pPr>
      <w:r w:rsidRPr="007451D2">
        <w:rPr>
          <w:rFonts w:ascii="Times New Roman" w:hAnsi="Times New Roman" w:cs="Times New Roman"/>
          <w:color w:val="212121"/>
          <w:shd w:val="clear" w:color="auto" w:fill="FFFFFF"/>
        </w:rPr>
        <w:t xml:space="preserve">Carey K, Ameli O, Garrity B, </w:t>
      </w:r>
      <w:proofErr w:type="spellStart"/>
      <w:r w:rsidRPr="007451D2">
        <w:rPr>
          <w:rFonts w:ascii="Times New Roman" w:hAnsi="Times New Roman" w:cs="Times New Roman"/>
          <w:color w:val="212121"/>
          <w:shd w:val="clear" w:color="auto" w:fill="FFFFFF"/>
        </w:rPr>
        <w:t>Rothendler</w:t>
      </w:r>
      <w:proofErr w:type="spellEnd"/>
      <w:r w:rsidRPr="007451D2">
        <w:rPr>
          <w:rFonts w:ascii="Times New Roman" w:hAnsi="Times New Roman" w:cs="Times New Roman"/>
          <w:color w:val="212121"/>
          <w:shd w:val="clear" w:color="auto" w:fill="FFFFFF"/>
        </w:rPr>
        <w:t xml:space="preserve"> J, Cabral H, McDonough C, Stein M, Saper R, Kazis L. Health insurance design and conservative therapy for low back pain. Am J Manag Care. 2019 Jun 1;25(6):e182-e187. PMID: 31211551.</w:t>
      </w:r>
    </w:p>
    <w:p w14:paraId="1333A81E" w14:textId="77777777" w:rsidR="008E774B" w:rsidRPr="00917207" w:rsidRDefault="008E774B" w:rsidP="008E774B">
      <w:pPr>
        <w:tabs>
          <w:tab w:val="left" w:pos="210"/>
          <w:tab w:val="center" w:pos="4680"/>
        </w:tabs>
        <w:spacing w:after="0" w:line="240" w:lineRule="auto"/>
        <w:ind w:left="360"/>
        <w:contextualSpacing/>
        <w:rPr>
          <w:rFonts w:ascii="Times New Roman" w:eastAsia="Calibri" w:hAnsi="Times New Roman" w:cs="Times New Roman"/>
          <w:sz w:val="24"/>
          <w:szCs w:val="24"/>
          <w:u w:val="single"/>
        </w:rPr>
      </w:pPr>
    </w:p>
    <w:p w14:paraId="15A4DA60" w14:textId="77777777" w:rsidR="00593C59" w:rsidRDefault="00593C59"/>
    <w:sectPr w:rsidR="00593C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D31F2"/>
    <w:multiLevelType w:val="hybridMultilevel"/>
    <w:tmpl w:val="E32EE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3F973D5"/>
    <w:multiLevelType w:val="hybridMultilevel"/>
    <w:tmpl w:val="FA72B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9242709"/>
    <w:multiLevelType w:val="hybridMultilevel"/>
    <w:tmpl w:val="4ECEC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7477002">
    <w:abstractNumId w:val="1"/>
  </w:num>
  <w:num w:numId="2" w16cid:durableId="264584393">
    <w:abstractNumId w:val="0"/>
  </w:num>
  <w:num w:numId="3" w16cid:durableId="1991595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74B"/>
    <w:rsid w:val="00061A6F"/>
    <w:rsid w:val="00290F5D"/>
    <w:rsid w:val="002A6F33"/>
    <w:rsid w:val="00386DFC"/>
    <w:rsid w:val="00542BD4"/>
    <w:rsid w:val="00593C59"/>
    <w:rsid w:val="005A0E0E"/>
    <w:rsid w:val="005C4940"/>
    <w:rsid w:val="007451D2"/>
    <w:rsid w:val="008B5A01"/>
    <w:rsid w:val="008E774B"/>
    <w:rsid w:val="00C66DF4"/>
    <w:rsid w:val="00C74398"/>
    <w:rsid w:val="00D103C3"/>
    <w:rsid w:val="00DD6A63"/>
    <w:rsid w:val="00F23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534441"/>
  <w15:chartTrackingRefBased/>
  <w15:docId w15:val="{396DBF0D-6DA1-3C4D-946D-764F67A43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74B"/>
    <w:pPr>
      <w:spacing w:line="259" w:lineRule="auto"/>
    </w:pPr>
    <w:rPr>
      <w:kern w:val="0"/>
      <w:sz w:val="22"/>
      <w:szCs w:val="22"/>
      <w14:ligatures w14:val="none"/>
    </w:rPr>
  </w:style>
  <w:style w:type="paragraph" w:styleId="Heading1">
    <w:name w:val="heading 1"/>
    <w:basedOn w:val="Normal"/>
    <w:next w:val="Normal"/>
    <w:link w:val="Heading1Char"/>
    <w:uiPriority w:val="9"/>
    <w:qFormat/>
    <w:rsid w:val="008E77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77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77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77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7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7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7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7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7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7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77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77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77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7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7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7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7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74B"/>
    <w:rPr>
      <w:rFonts w:eastAsiaTheme="majorEastAsia" w:cstheme="majorBidi"/>
      <w:color w:val="272727" w:themeColor="text1" w:themeTint="D8"/>
    </w:rPr>
  </w:style>
  <w:style w:type="paragraph" w:styleId="Title">
    <w:name w:val="Title"/>
    <w:basedOn w:val="Normal"/>
    <w:next w:val="Normal"/>
    <w:link w:val="TitleChar"/>
    <w:uiPriority w:val="10"/>
    <w:qFormat/>
    <w:rsid w:val="008E77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7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7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7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74B"/>
    <w:pPr>
      <w:spacing w:before="160"/>
      <w:jc w:val="center"/>
    </w:pPr>
    <w:rPr>
      <w:i/>
      <w:iCs/>
      <w:color w:val="404040" w:themeColor="text1" w:themeTint="BF"/>
    </w:rPr>
  </w:style>
  <w:style w:type="character" w:customStyle="1" w:styleId="QuoteChar">
    <w:name w:val="Quote Char"/>
    <w:basedOn w:val="DefaultParagraphFont"/>
    <w:link w:val="Quote"/>
    <w:uiPriority w:val="29"/>
    <w:rsid w:val="008E774B"/>
    <w:rPr>
      <w:i/>
      <w:iCs/>
      <w:color w:val="404040" w:themeColor="text1" w:themeTint="BF"/>
    </w:rPr>
  </w:style>
  <w:style w:type="paragraph" w:styleId="ListParagraph">
    <w:name w:val="List Paragraph"/>
    <w:basedOn w:val="Normal"/>
    <w:uiPriority w:val="34"/>
    <w:qFormat/>
    <w:rsid w:val="008E774B"/>
    <w:pPr>
      <w:ind w:left="720"/>
      <w:contextualSpacing/>
    </w:pPr>
  </w:style>
  <w:style w:type="character" w:styleId="IntenseEmphasis">
    <w:name w:val="Intense Emphasis"/>
    <w:basedOn w:val="DefaultParagraphFont"/>
    <w:uiPriority w:val="21"/>
    <w:qFormat/>
    <w:rsid w:val="008E774B"/>
    <w:rPr>
      <w:i/>
      <w:iCs/>
      <w:color w:val="0F4761" w:themeColor="accent1" w:themeShade="BF"/>
    </w:rPr>
  </w:style>
  <w:style w:type="paragraph" w:styleId="IntenseQuote">
    <w:name w:val="Intense Quote"/>
    <w:basedOn w:val="Normal"/>
    <w:next w:val="Normal"/>
    <w:link w:val="IntenseQuoteChar"/>
    <w:uiPriority w:val="30"/>
    <w:qFormat/>
    <w:rsid w:val="008E77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74B"/>
    <w:rPr>
      <w:i/>
      <w:iCs/>
      <w:color w:val="0F4761" w:themeColor="accent1" w:themeShade="BF"/>
    </w:rPr>
  </w:style>
  <w:style w:type="character" w:styleId="IntenseReference">
    <w:name w:val="Intense Reference"/>
    <w:basedOn w:val="DefaultParagraphFont"/>
    <w:uiPriority w:val="32"/>
    <w:qFormat/>
    <w:rsid w:val="008E774B"/>
    <w:rPr>
      <w:b/>
      <w:bCs/>
      <w:smallCaps/>
      <w:color w:val="0F4761" w:themeColor="accent1" w:themeShade="BF"/>
      <w:spacing w:val="5"/>
    </w:rPr>
  </w:style>
  <w:style w:type="character" w:styleId="Hyperlink">
    <w:name w:val="Hyperlink"/>
    <w:basedOn w:val="DefaultParagraphFont"/>
    <w:uiPriority w:val="99"/>
    <w:unhideWhenUsed/>
    <w:rsid w:val="008E774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stor.org/stable/2403309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896</Words>
  <Characters>5309</Characters>
  <Application>Microsoft Office Word</Application>
  <DocSecurity>0</DocSecurity>
  <Lines>89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Spoto</dc:creator>
  <cp:keywords/>
  <dc:description/>
  <cp:lastModifiedBy>Marcia Spoto</cp:lastModifiedBy>
  <cp:revision>5</cp:revision>
  <dcterms:created xsi:type="dcterms:W3CDTF">2026-03-12T16:45:00Z</dcterms:created>
  <dcterms:modified xsi:type="dcterms:W3CDTF">2026-03-25T18:35:00Z</dcterms:modified>
</cp:coreProperties>
</file>