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4C" w:rsidRDefault="00CB464C" w:rsidP="00CB464C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7D8470E" wp14:editId="3F2ADC9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64C" w:rsidRPr="00917939" w:rsidRDefault="00CB464C" w:rsidP="00CB464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CB464C" w:rsidRPr="00917939" w:rsidRDefault="00CB464C" w:rsidP="00CB464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CB464C" w:rsidRPr="00F72435" w:rsidRDefault="00CB464C" w:rsidP="00CB464C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:rsidR="00253EBD" w:rsidRPr="00583932" w:rsidRDefault="005571DC">
      <w:pPr>
        <w:rPr>
          <w:rFonts w:ascii="Arial" w:hAnsi="Arial" w:cs="Arial"/>
          <w:sz w:val="40"/>
          <w:szCs w:val="40"/>
        </w:rPr>
      </w:pPr>
      <w:r w:rsidRPr="00583932">
        <w:rPr>
          <w:rFonts w:ascii="Arial" w:hAnsi="Arial" w:cs="Arial"/>
          <w:sz w:val="40"/>
          <w:szCs w:val="40"/>
        </w:rPr>
        <w:t>COBRA Coverage</w:t>
      </w:r>
    </w:p>
    <w:p w:rsidR="005571DC" w:rsidRPr="00583932" w:rsidRDefault="005571DC" w:rsidP="002456F9">
      <w:p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Under the Consolidated Omnibus Budget Reconciliation Act (COBRA), eligible employees and/or their beneficiaries can continue group health coverage under the plan for certain qualifying events on a self-pay basis.</w:t>
      </w:r>
    </w:p>
    <w:p w:rsidR="004B026E" w:rsidRPr="00583932" w:rsidRDefault="004B026E" w:rsidP="002456F9">
      <w:pPr>
        <w:spacing w:after="0" w:line="300" w:lineRule="exact"/>
        <w:rPr>
          <w:rFonts w:ascii="Arial" w:hAnsi="Arial" w:cs="Arial"/>
        </w:rPr>
      </w:pPr>
    </w:p>
    <w:p w:rsidR="005571DC" w:rsidRPr="00583932" w:rsidRDefault="005571DC" w:rsidP="002456F9">
      <w:p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The following are</w:t>
      </w:r>
      <w:r w:rsidRPr="00583932">
        <w:rPr>
          <w:rFonts w:ascii="Arial" w:hAnsi="Arial" w:cs="Arial"/>
          <w:color w:val="FF0000"/>
        </w:rPr>
        <w:t xml:space="preserve"> </w:t>
      </w:r>
      <w:r w:rsidRPr="00583932">
        <w:rPr>
          <w:rFonts w:ascii="Arial" w:hAnsi="Arial" w:cs="Arial"/>
        </w:rPr>
        <w:t>qualifying events:</w:t>
      </w:r>
    </w:p>
    <w:p w:rsidR="004B026E" w:rsidRPr="00583932" w:rsidRDefault="004B026E" w:rsidP="002456F9">
      <w:pPr>
        <w:spacing w:after="0" w:line="300" w:lineRule="exact"/>
        <w:rPr>
          <w:rFonts w:ascii="Arial" w:hAnsi="Arial" w:cs="Arial"/>
        </w:rPr>
      </w:pP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Termination of employment for the covered employee (for reasons other than gross misconduct)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 xml:space="preserve">Reduction in the covered employee’s hours of employment </w:t>
      </w:r>
    </w:p>
    <w:p w:rsidR="004B026E" w:rsidRPr="00583932" w:rsidRDefault="004B026E" w:rsidP="002456F9">
      <w:pPr>
        <w:spacing w:after="0" w:line="300" w:lineRule="exact"/>
        <w:rPr>
          <w:rFonts w:ascii="Arial" w:hAnsi="Arial" w:cs="Arial"/>
        </w:rPr>
      </w:pPr>
    </w:p>
    <w:p w:rsidR="005571DC" w:rsidRPr="00583932" w:rsidRDefault="005571DC" w:rsidP="002456F9">
      <w:p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The following are additional qualifying events for a spouse or dependent child of a covered employee:</w:t>
      </w:r>
    </w:p>
    <w:p w:rsidR="004B026E" w:rsidRPr="00583932" w:rsidRDefault="004B026E" w:rsidP="002456F9">
      <w:pPr>
        <w:spacing w:after="0" w:line="300" w:lineRule="exact"/>
        <w:rPr>
          <w:rFonts w:ascii="Arial" w:hAnsi="Arial" w:cs="Arial"/>
        </w:rPr>
      </w:pP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Covered employee becomes entitled to Medicare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 xml:space="preserve">Divorce or legal separation 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Termination of employment or reduction in hours of employment of the covered employee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Death of the covered employee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Loss of dependent child status under the terms of the plan</w:t>
      </w:r>
    </w:p>
    <w:p w:rsidR="005571DC" w:rsidRPr="00583932" w:rsidRDefault="005571DC" w:rsidP="00CB464C">
      <w:pPr>
        <w:pStyle w:val="ListParagraph"/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>Filing of Chapter 11 bankruptcy by the employer</w:t>
      </w:r>
    </w:p>
    <w:p w:rsidR="004B026E" w:rsidRPr="00583932" w:rsidRDefault="004B026E" w:rsidP="002456F9">
      <w:pPr>
        <w:spacing w:after="0" w:line="300" w:lineRule="exact"/>
        <w:rPr>
          <w:rFonts w:ascii="Arial" w:hAnsi="Arial" w:cs="Arial"/>
        </w:rPr>
      </w:pPr>
    </w:p>
    <w:p w:rsidR="005571DC" w:rsidRPr="00583932" w:rsidRDefault="005571DC" w:rsidP="002456F9">
      <w:pPr>
        <w:spacing w:after="0" w:line="300" w:lineRule="exact"/>
        <w:rPr>
          <w:rFonts w:ascii="Arial" w:hAnsi="Arial" w:cs="Arial"/>
        </w:rPr>
      </w:pPr>
      <w:r w:rsidRPr="00583932">
        <w:rPr>
          <w:rFonts w:ascii="Arial" w:hAnsi="Arial" w:cs="Arial"/>
        </w:rPr>
        <w:t xml:space="preserve">Once </w:t>
      </w:r>
      <w:r w:rsidR="004B026E" w:rsidRPr="00583932">
        <w:rPr>
          <w:rFonts w:ascii="Arial" w:hAnsi="Arial" w:cs="Arial"/>
        </w:rPr>
        <w:t>t</w:t>
      </w:r>
      <w:r w:rsidRPr="00583932">
        <w:rPr>
          <w:rFonts w:ascii="Arial" w:hAnsi="Arial" w:cs="Arial"/>
        </w:rPr>
        <w:t xml:space="preserve">he Company receives appropriate notification of a qualifying event, </w:t>
      </w:r>
      <w:r w:rsidR="004B026E" w:rsidRPr="00583932">
        <w:rPr>
          <w:rFonts w:ascii="Arial" w:hAnsi="Arial" w:cs="Arial"/>
        </w:rPr>
        <w:t>t</w:t>
      </w:r>
      <w:r w:rsidRPr="00583932">
        <w:rPr>
          <w:rFonts w:ascii="Arial" w:hAnsi="Arial" w:cs="Arial"/>
        </w:rPr>
        <w:t xml:space="preserve">he Company will provide eligible employees and/or their beneficiaries with a COBRA election notice.  Each qualified beneficiary is given at least 60 days to choose whether or not to continue COBRA coverage, beginning from </w:t>
      </w:r>
      <w:r w:rsidR="004758DD">
        <w:rPr>
          <w:rFonts w:ascii="Arial" w:hAnsi="Arial" w:cs="Arial"/>
        </w:rPr>
        <w:t xml:space="preserve">either </w:t>
      </w:r>
      <w:r w:rsidRPr="00583932">
        <w:rPr>
          <w:rFonts w:ascii="Arial" w:hAnsi="Arial" w:cs="Arial"/>
        </w:rPr>
        <w:t>the date the election notice is provided or the date on which the qualified beneficiary would otherwise lose coverage under the group health plan due to the qualifying event</w:t>
      </w:r>
      <w:r w:rsidR="004758DD">
        <w:rPr>
          <w:rFonts w:ascii="Arial" w:hAnsi="Arial" w:cs="Arial"/>
        </w:rPr>
        <w:t>, whichever is later</w:t>
      </w:r>
      <w:r w:rsidRPr="00583932">
        <w:rPr>
          <w:rFonts w:ascii="Arial" w:hAnsi="Arial" w:cs="Arial"/>
        </w:rPr>
        <w:t>.</w:t>
      </w:r>
      <w:r w:rsidR="004758DD">
        <w:rPr>
          <w:rFonts w:ascii="Arial" w:hAnsi="Arial" w:cs="Arial"/>
        </w:rPr>
        <w:t xml:space="preserve"> Depending on the qualifying event, COBRA continuation coverage can range from 18 to 36 months.</w:t>
      </w:r>
    </w:p>
    <w:p w:rsidR="005571DC" w:rsidRPr="00583932" w:rsidRDefault="005571DC">
      <w:pPr>
        <w:rPr>
          <w:rFonts w:ascii="Arial" w:hAnsi="Arial" w:cs="Arial"/>
        </w:rPr>
      </w:pPr>
    </w:p>
    <w:p w:rsidR="004B026E" w:rsidRPr="00583932" w:rsidRDefault="004B026E">
      <w:pPr>
        <w:rPr>
          <w:rFonts w:ascii="Arial" w:hAnsi="Arial" w:cs="Arial"/>
        </w:rPr>
      </w:pPr>
    </w:p>
    <w:p w:rsidR="004B026E" w:rsidRDefault="004B026E"/>
    <w:p w:rsidR="004B026E" w:rsidRPr="00583932" w:rsidRDefault="004758DD" w:rsidP="004B026E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sectPr w:rsidR="004B026E" w:rsidRPr="00583932" w:rsidSect="00CB46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6E" w:rsidRDefault="004B026E" w:rsidP="004B026E">
      <w:pPr>
        <w:spacing w:after="0" w:line="240" w:lineRule="auto"/>
      </w:pPr>
      <w:r>
        <w:separator/>
      </w:r>
    </w:p>
  </w:endnote>
  <w:endnote w:type="continuationSeparator" w:id="0">
    <w:p w:rsidR="004B026E" w:rsidRDefault="004B026E" w:rsidP="004B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6E" w:rsidRPr="00583932" w:rsidRDefault="004B026E" w:rsidP="004B026E">
    <w:pPr>
      <w:pStyle w:val="Footer"/>
      <w:rPr>
        <w:rFonts w:ascii="Arial" w:hAnsi="Arial" w:cs="Arial"/>
        <w:sz w:val="20"/>
      </w:rPr>
    </w:pPr>
    <w:r w:rsidRPr="00583932">
      <w:rPr>
        <w:rFonts w:ascii="Arial" w:hAnsi="Arial" w:cs="Arial"/>
        <w:sz w:val="20"/>
      </w:rPr>
      <w:t>©</w:t>
    </w:r>
    <w:r w:rsidR="00583932">
      <w:rPr>
        <w:rFonts w:ascii="Arial" w:hAnsi="Arial" w:cs="Arial"/>
        <w:sz w:val="20"/>
      </w:rPr>
      <w:t xml:space="preserve"> </w:t>
    </w:r>
    <w:r w:rsidRPr="00583932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6E" w:rsidRDefault="004B026E" w:rsidP="004B026E">
      <w:pPr>
        <w:spacing w:after="0" w:line="240" w:lineRule="auto"/>
      </w:pPr>
      <w:r>
        <w:separator/>
      </w:r>
    </w:p>
  </w:footnote>
  <w:footnote w:type="continuationSeparator" w:id="0">
    <w:p w:rsidR="004B026E" w:rsidRDefault="004B026E" w:rsidP="004B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612E5"/>
    <w:multiLevelType w:val="hybridMultilevel"/>
    <w:tmpl w:val="2D06C5E6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913"/>
    <w:multiLevelType w:val="hybridMultilevel"/>
    <w:tmpl w:val="84563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17B9E"/>
    <w:multiLevelType w:val="hybridMultilevel"/>
    <w:tmpl w:val="4C221946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A2603"/>
    <w:multiLevelType w:val="hybridMultilevel"/>
    <w:tmpl w:val="E6F61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8B43DB"/>
    <w:multiLevelType w:val="hybridMultilevel"/>
    <w:tmpl w:val="B3986352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DC"/>
    <w:rsid w:val="00101B07"/>
    <w:rsid w:val="001A3956"/>
    <w:rsid w:val="002456F9"/>
    <w:rsid w:val="00253EBD"/>
    <w:rsid w:val="004758DD"/>
    <w:rsid w:val="004B026E"/>
    <w:rsid w:val="005571DC"/>
    <w:rsid w:val="00583932"/>
    <w:rsid w:val="00C42787"/>
    <w:rsid w:val="00C64DD6"/>
    <w:rsid w:val="00C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3E42E-C1A8-4407-A767-E8C0980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1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4B0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6E"/>
  </w:style>
  <w:style w:type="paragraph" w:styleId="Footer">
    <w:name w:val="footer"/>
    <w:basedOn w:val="Normal"/>
    <w:link w:val="FooterChar"/>
    <w:unhideWhenUsed/>
    <w:rsid w:val="004B0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B026E"/>
  </w:style>
  <w:style w:type="paragraph" w:styleId="Title">
    <w:name w:val="Title"/>
    <w:basedOn w:val="Normal"/>
    <w:link w:val="TitleChar"/>
    <w:qFormat/>
    <w:rsid w:val="004B0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B026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 Dyke</cp:lastModifiedBy>
  <cp:revision>2</cp:revision>
  <dcterms:created xsi:type="dcterms:W3CDTF">2022-01-12T19:08:00Z</dcterms:created>
  <dcterms:modified xsi:type="dcterms:W3CDTF">2022-01-12T19:08:00Z</dcterms:modified>
</cp:coreProperties>
</file>