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450B2978" w:rsidR="00C356E2" w:rsidRDefault="00A45719" w:rsidP="00C356E2">
      <w:pPr>
        <w:spacing w:line="240" w:lineRule="auto"/>
        <w:rPr>
          <w:rFonts w:eastAsia="DFKai-SB" w:cs="Arial"/>
          <w:b/>
          <w:sz w:val="36"/>
        </w:rPr>
      </w:pPr>
      <w:r>
        <w:rPr>
          <w:rFonts w:eastAsia="DFKai-SB" w:cs="Arial"/>
          <w:b/>
          <w:color w:val="1D2C4C"/>
          <w:sz w:val="60"/>
          <w:szCs w:val="60"/>
        </w:rPr>
        <w:t>Travel Time</w:t>
      </w:r>
      <w:r w:rsidR="0033334D">
        <w:rPr>
          <w:rFonts w:eastAsia="DFKai-SB" w:cs="Arial"/>
          <w:b/>
          <w:color w:val="1D2C4C"/>
          <w:sz w:val="60"/>
          <w:szCs w:val="60"/>
        </w:rPr>
        <w:t xml:space="preserve"> / Training Time</w:t>
      </w:r>
      <w:r w:rsidR="0029501D">
        <w:rPr>
          <w:rFonts w:eastAsia="DFKai-SB" w:cs="Arial"/>
          <w:b/>
          <w:color w:val="1D2C4C"/>
          <w:sz w:val="60"/>
          <w:szCs w:val="60"/>
        </w:rPr>
        <w:t xml:space="preserve"> Guidelines</w:t>
      </w:r>
    </w:p>
    <w:p w14:paraId="2CE7B854" w14:textId="3A0D4C97" w:rsidR="001B584B" w:rsidRPr="001B584B" w:rsidRDefault="001B584B" w:rsidP="001B584B">
      <w:pPr>
        <w:spacing w:line="240" w:lineRule="auto"/>
        <w:rPr>
          <w:b/>
          <w:bCs/>
          <w:color w:val="1D2C4C"/>
        </w:rPr>
      </w:pPr>
    </w:p>
    <w:p w14:paraId="2B40096F" w14:textId="52B6B33A" w:rsidR="001B584B" w:rsidRDefault="001B584B" w:rsidP="001B584B">
      <w:pPr>
        <w:spacing w:line="240" w:lineRule="auto"/>
        <w:rPr>
          <w:b/>
          <w:bCs/>
          <w:color w:val="1D2C4C"/>
        </w:rPr>
      </w:pPr>
    </w:p>
    <w:p w14:paraId="706333CE" w14:textId="77777777" w:rsidR="00A45719" w:rsidRDefault="00A45719" w:rsidP="00A45719">
      <w:pPr>
        <w:rPr>
          <w:rFonts w:cs="Arial"/>
        </w:rPr>
      </w:pPr>
      <w:r w:rsidRPr="00FE37AF">
        <w:rPr>
          <w:rFonts w:cs="Arial"/>
        </w:rPr>
        <w:t>Under ordinary circumstances, time spent traveling to and from work is not compensable.  However, travel time related to assignments which take the employee away from the regular workplace or which require an overnight stay is generally considered hours worked, must be paid and must be included when calculating overtime.</w:t>
      </w:r>
    </w:p>
    <w:p w14:paraId="0888A244" w14:textId="77777777" w:rsidR="00A45719" w:rsidRDefault="00A45719" w:rsidP="00A45719">
      <w:pPr>
        <w:rPr>
          <w:rFonts w:cs="Arial"/>
        </w:rPr>
      </w:pPr>
    </w:p>
    <w:p w14:paraId="3E062A3C" w14:textId="77777777" w:rsidR="00A45719" w:rsidRPr="00A45719" w:rsidRDefault="00A45719" w:rsidP="00A45719">
      <w:pPr>
        <w:rPr>
          <w:rFonts w:eastAsia="DFKai-SB" w:cs="Arial"/>
          <w:b/>
          <w:color w:val="1D2C4C"/>
          <w:sz w:val="24"/>
        </w:rPr>
      </w:pPr>
      <w:r w:rsidRPr="00A45719">
        <w:rPr>
          <w:rFonts w:eastAsia="DFKai-SB" w:cs="Arial"/>
          <w:b/>
          <w:color w:val="1D2C4C"/>
          <w:sz w:val="24"/>
        </w:rPr>
        <w:t>Commutes</w:t>
      </w:r>
    </w:p>
    <w:p w14:paraId="0D8F0243" w14:textId="77777777" w:rsidR="00A45719" w:rsidRDefault="00A45719" w:rsidP="00A45719">
      <w:pPr>
        <w:rPr>
          <w:rFonts w:cs="Arial"/>
          <w:b/>
          <w:bCs/>
        </w:rPr>
      </w:pPr>
    </w:p>
    <w:p w14:paraId="42567C3D" w14:textId="77777777" w:rsidR="00A45719" w:rsidRDefault="00A45719" w:rsidP="00395FCD">
      <w:pPr>
        <w:numPr>
          <w:ilvl w:val="0"/>
          <w:numId w:val="3"/>
        </w:numPr>
        <w:rPr>
          <w:rFonts w:cs="Arial"/>
        </w:rPr>
      </w:pPr>
      <w:r>
        <w:rPr>
          <w:rFonts w:cs="Arial"/>
        </w:rPr>
        <w:t>Time spent traveling to and from work is considered an employee’s commute. Commutes are generally not required to be paid, even if an employee is traveling to a different worksite than their normal workstation.</w:t>
      </w:r>
    </w:p>
    <w:p w14:paraId="71C52584" w14:textId="77777777" w:rsidR="0033334D" w:rsidRPr="00A45719" w:rsidRDefault="0033334D" w:rsidP="0033334D">
      <w:pPr>
        <w:rPr>
          <w:rFonts w:cs="Arial"/>
        </w:rPr>
      </w:pPr>
    </w:p>
    <w:p w14:paraId="0AE8F6F9" w14:textId="77777777" w:rsidR="00A45719" w:rsidRPr="00A45719" w:rsidRDefault="00A45719" w:rsidP="00395FCD">
      <w:pPr>
        <w:numPr>
          <w:ilvl w:val="0"/>
          <w:numId w:val="3"/>
        </w:numPr>
        <w:rPr>
          <w:rFonts w:cs="Arial"/>
        </w:rPr>
      </w:pPr>
      <w:r>
        <w:rPr>
          <w:rFonts w:cs="Arial"/>
        </w:rPr>
        <w:t>If an employee travels to a worksite on a day outside their normal work schedule, commutes are not paid. For example, if an employee normally works Monday through Friday and travels to their workstation on a Saturday, their travel from home to work and back is not compensable.</w:t>
      </w:r>
    </w:p>
    <w:p w14:paraId="26575486" w14:textId="77777777" w:rsidR="00A45719" w:rsidRDefault="00A45719" w:rsidP="00A45719">
      <w:pPr>
        <w:rPr>
          <w:rFonts w:cs="Arial"/>
        </w:rPr>
      </w:pPr>
    </w:p>
    <w:p w14:paraId="7F5256A4" w14:textId="77777777" w:rsidR="00A45719" w:rsidRPr="00A45719" w:rsidRDefault="00A45719" w:rsidP="00A45719">
      <w:pPr>
        <w:rPr>
          <w:rFonts w:eastAsia="DFKai-SB" w:cs="Arial"/>
          <w:b/>
          <w:color w:val="1D2C4C"/>
          <w:sz w:val="24"/>
        </w:rPr>
      </w:pPr>
      <w:r w:rsidRPr="00A45719">
        <w:rPr>
          <w:rFonts w:eastAsia="DFKai-SB" w:cs="Arial"/>
          <w:b/>
          <w:color w:val="1D2C4C"/>
          <w:sz w:val="24"/>
        </w:rPr>
        <w:t>Travel Between Worksites</w:t>
      </w:r>
    </w:p>
    <w:p w14:paraId="14D2DA1A" w14:textId="77777777" w:rsidR="00A45719" w:rsidRDefault="00A45719" w:rsidP="00A45719">
      <w:pPr>
        <w:rPr>
          <w:rFonts w:cs="Arial"/>
          <w:b/>
          <w:bCs/>
        </w:rPr>
      </w:pPr>
    </w:p>
    <w:p w14:paraId="7805C91F" w14:textId="77777777" w:rsidR="00A45719" w:rsidRDefault="00A45719" w:rsidP="00395FCD">
      <w:pPr>
        <w:numPr>
          <w:ilvl w:val="0"/>
          <w:numId w:val="3"/>
        </w:numPr>
        <w:rPr>
          <w:rFonts w:cs="Arial"/>
        </w:rPr>
      </w:pPr>
      <w:r w:rsidRPr="00FE37AF">
        <w:rPr>
          <w:rFonts w:cs="Arial"/>
        </w:rPr>
        <w:t xml:space="preserve">Where an employee is required to report to a particular location to pick up tools or co-workers, time spent traveling from that location to the job site is considered hours worked. </w:t>
      </w:r>
    </w:p>
    <w:p w14:paraId="7879ADB6" w14:textId="77777777" w:rsidR="0033334D" w:rsidRDefault="0033334D" w:rsidP="0033334D">
      <w:pPr>
        <w:rPr>
          <w:rFonts w:cs="Arial"/>
        </w:rPr>
      </w:pPr>
    </w:p>
    <w:p w14:paraId="11019483" w14:textId="77777777" w:rsidR="00A45719" w:rsidRPr="00D474B8" w:rsidRDefault="00A45719" w:rsidP="00395FCD">
      <w:pPr>
        <w:numPr>
          <w:ilvl w:val="0"/>
          <w:numId w:val="3"/>
        </w:numPr>
        <w:rPr>
          <w:rFonts w:cs="Arial"/>
        </w:rPr>
      </w:pPr>
      <w:r>
        <w:rPr>
          <w:rFonts w:cs="Arial"/>
        </w:rPr>
        <w:t>When an employee travels between multiple worksites in a day, time spent traveling between the worksites is considered hours worked. Travel from the employee’s home to the first worksite is generally considered a commute and is not compensable.</w:t>
      </w:r>
    </w:p>
    <w:p w14:paraId="04AB2EF3" w14:textId="77777777" w:rsidR="00A45719" w:rsidRDefault="00A45719" w:rsidP="00A45719">
      <w:pPr>
        <w:rPr>
          <w:rFonts w:cs="Arial"/>
          <w:b/>
          <w:bCs/>
        </w:rPr>
      </w:pPr>
    </w:p>
    <w:p w14:paraId="3634CD16" w14:textId="77777777" w:rsidR="00A45719" w:rsidRPr="00A45719" w:rsidRDefault="00A45719" w:rsidP="00A45719">
      <w:pPr>
        <w:rPr>
          <w:rFonts w:eastAsia="DFKai-SB" w:cs="Arial"/>
          <w:b/>
          <w:color w:val="1D2C4C"/>
          <w:sz w:val="24"/>
        </w:rPr>
      </w:pPr>
      <w:r w:rsidRPr="00A45719">
        <w:rPr>
          <w:rFonts w:eastAsia="DFKai-SB" w:cs="Arial"/>
          <w:b/>
          <w:color w:val="1D2C4C"/>
          <w:sz w:val="24"/>
        </w:rPr>
        <w:t>Special One-Day Assignments</w:t>
      </w:r>
    </w:p>
    <w:p w14:paraId="22AC904C" w14:textId="77777777" w:rsidR="00A45719" w:rsidRPr="00FE37AF" w:rsidRDefault="00A45719" w:rsidP="00A45719">
      <w:pPr>
        <w:rPr>
          <w:rFonts w:cs="Arial"/>
        </w:rPr>
      </w:pPr>
    </w:p>
    <w:p w14:paraId="51287C24" w14:textId="77777777" w:rsidR="00A45719" w:rsidRDefault="00A45719" w:rsidP="00395FCD">
      <w:pPr>
        <w:numPr>
          <w:ilvl w:val="0"/>
          <w:numId w:val="3"/>
        </w:numPr>
        <w:rPr>
          <w:rFonts w:cs="Arial"/>
        </w:rPr>
      </w:pPr>
      <w:r w:rsidRPr="00FE37AF">
        <w:rPr>
          <w:rFonts w:cs="Arial"/>
        </w:rPr>
        <w:t xml:space="preserve">When an employee has a fixed official workstation and is sent to work on a special one-day assignment in another city, outside a 30-mile radius of the workstation. In this circumstance, the employee must be paid for travel time from the official workstation to the job site.  </w:t>
      </w:r>
    </w:p>
    <w:p w14:paraId="306F8945" w14:textId="77777777" w:rsidR="0033334D" w:rsidRDefault="0033334D" w:rsidP="0033334D">
      <w:pPr>
        <w:rPr>
          <w:rFonts w:cs="Arial"/>
        </w:rPr>
      </w:pPr>
    </w:p>
    <w:p w14:paraId="192F4453" w14:textId="77777777" w:rsidR="00A45719" w:rsidRPr="00FE37AF" w:rsidRDefault="00A45719" w:rsidP="00395FCD">
      <w:pPr>
        <w:numPr>
          <w:ilvl w:val="0"/>
          <w:numId w:val="3"/>
        </w:numPr>
        <w:rPr>
          <w:rFonts w:cs="Arial"/>
        </w:rPr>
      </w:pPr>
      <w:r>
        <w:rPr>
          <w:rFonts w:cs="Arial"/>
        </w:rPr>
        <w:t>If an employee does not have a fixed work location, such as if they often work at different locations, they do not have to be paid for time spent traveling on a one-day assignment in another city.</w:t>
      </w:r>
    </w:p>
    <w:p w14:paraId="1A667803" w14:textId="77777777" w:rsidR="00A45719" w:rsidRDefault="00A45719" w:rsidP="00A45719">
      <w:pPr>
        <w:rPr>
          <w:rFonts w:cs="Arial"/>
        </w:rPr>
      </w:pPr>
    </w:p>
    <w:p w14:paraId="6816B858" w14:textId="77777777" w:rsidR="00A45719" w:rsidRPr="00A45719" w:rsidRDefault="00A45719" w:rsidP="00A45719">
      <w:pPr>
        <w:rPr>
          <w:rFonts w:eastAsia="DFKai-SB" w:cs="Arial"/>
          <w:b/>
          <w:color w:val="1D2C4C"/>
          <w:sz w:val="24"/>
        </w:rPr>
      </w:pPr>
      <w:r w:rsidRPr="00A45719">
        <w:rPr>
          <w:rFonts w:eastAsia="DFKai-SB" w:cs="Arial"/>
          <w:b/>
          <w:color w:val="1D2C4C"/>
          <w:sz w:val="24"/>
        </w:rPr>
        <w:t>Overnight Travel</w:t>
      </w:r>
    </w:p>
    <w:p w14:paraId="1CBBE4CD" w14:textId="77777777" w:rsidR="00A45719" w:rsidRPr="00FE37AF" w:rsidRDefault="00A45719" w:rsidP="00A45719">
      <w:pPr>
        <w:rPr>
          <w:rFonts w:cs="Arial"/>
        </w:rPr>
      </w:pPr>
    </w:p>
    <w:p w14:paraId="6F453B9A" w14:textId="77777777" w:rsidR="00A45719" w:rsidRPr="00FE37AF" w:rsidRDefault="00A45719" w:rsidP="00395FCD">
      <w:pPr>
        <w:numPr>
          <w:ilvl w:val="0"/>
          <w:numId w:val="3"/>
        </w:numPr>
        <w:rPr>
          <w:rFonts w:cs="Arial"/>
        </w:rPr>
      </w:pPr>
      <w:r w:rsidRPr="00FE37AF">
        <w:rPr>
          <w:rFonts w:cs="Arial"/>
        </w:rPr>
        <w:t xml:space="preserve">Whether a non-exempt employee is compensated for time away from home while on an overnight business trip or assignment is dependent upon the time of day the travel occurs and what activities take place during that travel.  </w:t>
      </w:r>
    </w:p>
    <w:p w14:paraId="4E0C6673" w14:textId="77777777" w:rsidR="00A45719" w:rsidRPr="00FE37AF" w:rsidRDefault="00A45719" w:rsidP="00A45719">
      <w:pPr>
        <w:pStyle w:val="ListParagraph"/>
        <w:spacing w:line="300" w:lineRule="exact"/>
        <w:rPr>
          <w:rFonts w:ascii="Arial" w:hAnsi="Arial" w:cs="Arial"/>
        </w:rPr>
      </w:pPr>
    </w:p>
    <w:p w14:paraId="4CC32C02" w14:textId="77777777" w:rsidR="00A45719" w:rsidRPr="00975A30" w:rsidRDefault="00A45719" w:rsidP="00395FCD">
      <w:pPr>
        <w:numPr>
          <w:ilvl w:val="1"/>
          <w:numId w:val="4"/>
        </w:numPr>
        <w:ind w:left="720"/>
        <w:rPr>
          <w:rFonts w:cs="Arial"/>
        </w:rPr>
      </w:pPr>
      <w:r w:rsidRPr="00FE37AF">
        <w:rPr>
          <w:rFonts w:cs="Arial"/>
        </w:rPr>
        <w:lastRenderedPageBreak/>
        <w:t xml:space="preserve">Generally, </w:t>
      </w:r>
      <w:r>
        <w:rPr>
          <w:rFonts w:cs="Arial"/>
        </w:rPr>
        <w:t>if travel occurs during an employee’s normal work hours, then it must be paid, even if the travel occurs on a day outside the employee’s normal schedule</w:t>
      </w:r>
      <w:r w:rsidRPr="00FE37AF">
        <w:rPr>
          <w:rFonts w:cs="Arial"/>
        </w:rPr>
        <w:t xml:space="preserve">.  </w:t>
      </w:r>
    </w:p>
    <w:p w14:paraId="14077DB0" w14:textId="77777777" w:rsidR="00A45719" w:rsidRPr="00FE37AF" w:rsidRDefault="00A45719" w:rsidP="00395FCD">
      <w:pPr>
        <w:numPr>
          <w:ilvl w:val="1"/>
          <w:numId w:val="2"/>
        </w:numPr>
        <w:ind w:left="720"/>
        <w:rPr>
          <w:rFonts w:cs="Arial"/>
        </w:rPr>
      </w:pPr>
      <w:r w:rsidRPr="00FE37AF">
        <w:rPr>
          <w:rFonts w:cs="Arial"/>
        </w:rPr>
        <w:t xml:space="preserve">An employee </w:t>
      </w:r>
      <w:r>
        <w:rPr>
          <w:rFonts w:cs="Arial"/>
        </w:rPr>
        <w:t>must be compensated for any work performed for the employer while traveling, even outside of normal working hours</w:t>
      </w:r>
      <w:r w:rsidRPr="00FE37AF">
        <w:rPr>
          <w:rFonts w:cs="Arial"/>
        </w:rPr>
        <w:t xml:space="preserve">.  </w:t>
      </w:r>
    </w:p>
    <w:p w14:paraId="7E6D7478" w14:textId="77777777" w:rsidR="00A45719" w:rsidRPr="00FE37AF" w:rsidRDefault="00A45719" w:rsidP="0033334D">
      <w:pPr>
        <w:pStyle w:val="ListParagraph"/>
        <w:spacing w:line="300" w:lineRule="exact"/>
        <w:ind w:left="0"/>
        <w:rPr>
          <w:rFonts w:ascii="Arial" w:hAnsi="Arial" w:cs="Arial"/>
        </w:rPr>
      </w:pPr>
    </w:p>
    <w:p w14:paraId="481A0DE3" w14:textId="77777777" w:rsidR="00A45719" w:rsidRDefault="00A45719" w:rsidP="00395FCD">
      <w:pPr>
        <w:numPr>
          <w:ilvl w:val="1"/>
          <w:numId w:val="2"/>
        </w:numPr>
        <w:ind w:left="720"/>
        <w:rPr>
          <w:rFonts w:cs="Arial"/>
        </w:rPr>
      </w:pPr>
      <w:r w:rsidRPr="00FE37AF">
        <w:rPr>
          <w:rFonts w:cs="Arial"/>
        </w:rPr>
        <w:t>Not all time spent on a business trip is compensable.  For instance, any non-business meal period or times when an employee is allowed to sleep would not be considered hours worked and therefore not compensable.</w:t>
      </w:r>
    </w:p>
    <w:p w14:paraId="448D367A" w14:textId="77777777" w:rsidR="00395FCD" w:rsidRDefault="00395FCD" w:rsidP="00395FCD">
      <w:pPr>
        <w:pStyle w:val="ListParagraph"/>
        <w:rPr>
          <w:rFonts w:cs="Arial"/>
        </w:rPr>
      </w:pPr>
    </w:p>
    <w:p w14:paraId="7D48442C" w14:textId="77777777" w:rsidR="00A45719" w:rsidRPr="00FE37AF" w:rsidRDefault="00A45719" w:rsidP="00395FCD">
      <w:pPr>
        <w:numPr>
          <w:ilvl w:val="1"/>
          <w:numId w:val="2"/>
        </w:numPr>
        <w:ind w:left="720"/>
        <w:rPr>
          <w:rFonts w:cs="Arial"/>
        </w:rPr>
      </w:pPr>
      <w:r>
        <w:rPr>
          <w:rFonts w:cs="Arial"/>
        </w:rPr>
        <w:t>Any time the employee is required to drive is required to be paid, even if it is outside their normal work hours. If an employee is offered other transportation, such as traveling by bus or train, and the employee chooses to drive, only the time that would have been compensable had the employee accepted the other transportation must be paid.</w:t>
      </w:r>
    </w:p>
    <w:p w14:paraId="586C5A1F" w14:textId="77777777" w:rsidR="00A45719" w:rsidRPr="00FE37AF" w:rsidRDefault="00A45719" w:rsidP="00A45719">
      <w:pPr>
        <w:pStyle w:val="ListParagraph"/>
        <w:rPr>
          <w:rFonts w:ascii="Arial" w:hAnsi="Arial" w:cs="Arial"/>
        </w:rPr>
      </w:pPr>
    </w:p>
    <w:p w14:paraId="4FCA4721" w14:textId="77777777" w:rsidR="00A45719" w:rsidRPr="0033334D" w:rsidRDefault="00A45719" w:rsidP="0033334D">
      <w:pPr>
        <w:spacing w:line="240" w:lineRule="auto"/>
        <w:rPr>
          <w:rFonts w:eastAsia="DFKai-SB" w:cs="Arial"/>
          <w:b/>
          <w:color w:val="1D2C4C"/>
          <w:sz w:val="60"/>
          <w:szCs w:val="60"/>
        </w:rPr>
      </w:pPr>
      <w:bookmarkStart w:id="0" w:name="_Toc343770899"/>
      <w:bookmarkStart w:id="1" w:name="_Toc343771085"/>
      <w:bookmarkStart w:id="2" w:name="_Toc343846668"/>
      <w:r w:rsidRPr="0033334D">
        <w:rPr>
          <w:rFonts w:eastAsia="DFKai-SB" w:cs="Arial"/>
          <w:b/>
          <w:color w:val="1D2C4C"/>
          <w:sz w:val="60"/>
          <w:szCs w:val="60"/>
        </w:rPr>
        <w:t>Training Time</w:t>
      </w:r>
      <w:bookmarkEnd w:id="0"/>
      <w:bookmarkEnd w:id="1"/>
      <w:bookmarkEnd w:id="2"/>
    </w:p>
    <w:p w14:paraId="1E179E19" w14:textId="77777777" w:rsidR="00A45719" w:rsidRPr="00FE37AF" w:rsidRDefault="00A45719" w:rsidP="00A45719">
      <w:pPr>
        <w:rPr>
          <w:rFonts w:cs="Arial"/>
        </w:rPr>
      </w:pPr>
    </w:p>
    <w:p w14:paraId="0B18E825" w14:textId="77777777" w:rsidR="00A45719" w:rsidRPr="00FE37AF" w:rsidRDefault="00A45719" w:rsidP="0033334D">
      <w:pPr>
        <w:rPr>
          <w:rFonts w:cs="Arial"/>
        </w:rPr>
      </w:pPr>
      <w:r w:rsidRPr="00FE37AF">
        <w:rPr>
          <w:rFonts w:cs="Arial"/>
        </w:rPr>
        <w:t>Time spent in meetings and training activities is generally considered hours worked and is compensable.</w:t>
      </w:r>
    </w:p>
    <w:p w14:paraId="558E9CB8" w14:textId="77777777" w:rsidR="00A45719" w:rsidRPr="00FE37AF" w:rsidRDefault="00A45719" w:rsidP="0033334D">
      <w:pPr>
        <w:rPr>
          <w:rFonts w:cs="Arial"/>
        </w:rPr>
      </w:pPr>
    </w:p>
    <w:p w14:paraId="5B1F3168" w14:textId="77777777" w:rsidR="00A45719" w:rsidRPr="00FE37AF" w:rsidRDefault="00A45719" w:rsidP="0033334D">
      <w:pPr>
        <w:rPr>
          <w:rFonts w:cs="Arial"/>
        </w:rPr>
      </w:pPr>
      <w:r w:rsidRPr="00FE37AF">
        <w:rPr>
          <w:rFonts w:cs="Arial"/>
        </w:rPr>
        <w:t xml:space="preserve">Such activities will not be considered hours worked if </w:t>
      </w:r>
      <w:r w:rsidRPr="00FE37AF">
        <w:rPr>
          <w:rFonts w:cs="Arial"/>
          <w:b/>
          <w:i/>
        </w:rPr>
        <w:t>all</w:t>
      </w:r>
      <w:r w:rsidRPr="00FE37AF">
        <w:rPr>
          <w:rFonts w:cs="Arial"/>
        </w:rPr>
        <w:t xml:space="preserve"> </w:t>
      </w:r>
      <w:r w:rsidRPr="00FE37AF">
        <w:rPr>
          <w:rFonts w:cs="Arial"/>
          <w:b/>
          <w:i/>
        </w:rPr>
        <w:t>four</w:t>
      </w:r>
      <w:r w:rsidRPr="00FE37AF">
        <w:rPr>
          <w:rFonts w:cs="Arial"/>
        </w:rPr>
        <w:t xml:space="preserve"> of the following criteria are met:</w:t>
      </w:r>
    </w:p>
    <w:p w14:paraId="56B75891" w14:textId="77777777" w:rsidR="00A45719" w:rsidRPr="00FE37AF" w:rsidRDefault="00A45719" w:rsidP="0033334D">
      <w:pPr>
        <w:rPr>
          <w:rFonts w:cs="Arial"/>
        </w:rPr>
      </w:pPr>
    </w:p>
    <w:p w14:paraId="52CDA132" w14:textId="77777777" w:rsidR="00A45719" w:rsidRPr="00FE37AF" w:rsidRDefault="00A45719" w:rsidP="00395FCD">
      <w:pPr>
        <w:numPr>
          <w:ilvl w:val="0"/>
          <w:numId w:val="1"/>
        </w:numPr>
        <w:tabs>
          <w:tab w:val="clear" w:pos="360"/>
        </w:tabs>
        <w:ind w:left="720"/>
        <w:rPr>
          <w:rFonts w:cs="Arial"/>
          <w:sz w:val="26"/>
        </w:rPr>
      </w:pPr>
      <w:r w:rsidRPr="00FE37AF">
        <w:rPr>
          <w:rFonts w:cs="Arial"/>
        </w:rPr>
        <w:t>Attendance is outside the employee’s regular working hours;</w:t>
      </w:r>
    </w:p>
    <w:p w14:paraId="35ADD1EF" w14:textId="77777777" w:rsidR="00A45719" w:rsidRPr="00FE37AF" w:rsidRDefault="00A45719" w:rsidP="00395FCD">
      <w:pPr>
        <w:numPr>
          <w:ilvl w:val="0"/>
          <w:numId w:val="1"/>
        </w:numPr>
        <w:tabs>
          <w:tab w:val="clear" w:pos="360"/>
        </w:tabs>
        <w:ind w:left="720"/>
        <w:rPr>
          <w:rFonts w:cs="Arial"/>
          <w:sz w:val="26"/>
        </w:rPr>
      </w:pPr>
      <w:r w:rsidRPr="00FE37AF">
        <w:rPr>
          <w:rFonts w:cs="Arial"/>
        </w:rPr>
        <w:t>Attendance is voluntary;</w:t>
      </w:r>
    </w:p>
    <w:p w14:paraId="685B7E56" w14:textId="77777777" w:rsidR="00A45719" w:rsidRPr="00FE37AF" w:rsidRDefault="00A45719" w:rsidP="00395FCD">
      <w:pPr>
        <w:numPr>
          <w:ilvl w:val="0"/>
          <w:numId w:val="1"/>
        </w:numPr>
        <w:tabs>
          <w:tab w:val="clear" w:pos="360"/>
        </w:tabs>
        <w:ind w:left="720"/>
        <w:rPr>
          <w:rFonts w:cs="Arial"/>
          <w:sz w:val="26"/>
        </w:rPr>
      </w:pPr>
      <w:r w:rsidRPr="00FE37AF">
        <w:rPr>
          <w:rFonts w:cs="Arial"/>
        </w:rPr>
        <w:t>The course, lecture, or meeting is not directly related to the employee’s job;</w:t>
      </w:r>
    </w:p>
    <w:p w14:paraId="190A9225" w14:textId="77777777" w:rsidR="00A45719" w:rsidRPr="00FE37AF" w:rsidRDefault="00A45719" w:rsidP="00395FCD">
      <w:pPr>
        <w:numPr>
          <w:ilvl w:val="0"/>
          <w:numId w:val="1"/>
        </w:numPr>
        <w:tabs>
          <w:tab w:val="clear" w:pos="360"/>
        </w:tabs>
        <w:ind w:left="720"/>
        <w:rPr>
          <w:rFonts w:cs="Arial"/>
          <w:sz w:val="26"/>
        </w:rPr>
      </w:pPr>
      <w:r w:rsidRPr="00FE37AF">
        <w:rPr>
          <w:rFonts w:cs="Arial"/>
        </w:rPr>
        <w:t>The employee does not perform any productive work during attendance.</w:t>
      </w:r>
    </w:p>
    <w:p w14:paraId="4595544E" w14:textId="77777777" w:rsidR="00A45719" w:rsidRPr="00FE37AF" w:rsidRDefault="00A45719" w:rsidP="0033334D">
      <w:pPr>
        <w:rPr>
          <w:rFonts w:cs="Arial"/>
        </w:rPr>
      </w:pPr>
    </w:p>
    <w:p w14:paraId="0CD01D64" w14:textId="77777777" w:rsidR="00A45719" w:rsidRDefault="00A45719" w:rsidP="00395FCD">
      <w:pPr>
        <w:numPr>
          <w:ilvl w:val="0"/>
          <w:numId w:val="3"/>
        </w:numPr>
        <w:rPr>
          <w:rFonts w:cs="Arial"/>
        </w:rPr>
      </w:pPr>
      <w:r w:rsidRPr="00FE37AF">
        <w:rPr>
          <w:rFonts w:cs="Arial"/>
        </w:rPr>
        <w:t>Attendance is not voluntary if it is required or if the employee is led to believe that non-attendance would adversely affect job opportunities.</w:t>
      </w:r>
    </w:p>
    <w:p w14:paraId="5905CD0A" w14:textId="77777777" w:rsidR="0033334D" w:rsidRPr="00FE37AF" w:rsidRDefault="0033334D" w:rsidP="0033334D">
      <w:pPr>
        <w:rPr>
          <w:rFonts w:cs="Arial"/>
        </w:rPr>
      </w:pPr>
    </w:p>
    <w:p w14:paraId="660FDF02" w14:textId="77777777" w:rsidR="00A45719" w:rsidRPr="00FE37AF" w:rsidRDefault="00A45719" w:rsidP="00395FCD">
      <w:pPr>
        <w:numPr>
          <w:ilvl w:val="0"/>
          <w:numId w:val="3"/>
        </w:numPr>
        <w:rPr>
          <w:rFonts w:cs="Arial"/>
        </w:rPr>
      </w:pPr>
      <w:r w:rsidRPr="00FE37AF">
        <w:rPr>
          <w:rFonts w:cs="Arial"/>
        </w:rPr>
        <w:t>Training is directly related to the employee’s job if it is designed to improve performance at the employee’s current job.  Training for a new job or an additional skill is not directly-related.</w:t>
      </w:r>
    </w:p>
    <w:p w14:paraId="09EB43A5" w14:textId="77777777" w:rsidR="00A45719" w:rsidRPr="00FE37AF" w:rsidRDefault="00A45719" w:rsidP="0033334D">
      <w:pPr>
        <w:pStyle w:val="ListParagraph"/>
        <w:spacing w:line="300" w:lineRule="exact"/>
        <w:rPr>
          <w:rFonts w:ascii="Arial" w:hAnsi="Arial" w:cs="Arial"/>
        </w:rPr>
      </w:pPr>
    </w:p>
    <w:p w14:paraId="218EC458" w14:textId="5CA6AD94" w:rsidR="00A45719" w:rsidRPr="00FE37AF" w:rsidRDefault="00A45719" w:rsidP="0033334D">
      <w:pPr>
        <w:rPr>
          <w:rFonts w:cs="Arial"/>
        </w:rPr>
      </w:pPr>
      <w:r w:rsidRPr="00FE37AF">
        <w:rPr>
          <w:rFonts w:cs="Arial"/>
        </w:rPr>
        <w:t xml:space="preserve">Time spent seeking </w:t>
      </w:r>
      <w:proofErr w:type="gramStart"/>
      <w:r w:rsidRPr="00FE37AF">
        <w:rPr>
          <w:rFonts w:cs="Arial"/>
        </w:rPr>
        <w:t>legally-mandated</w:t>
      </w:r>
      <w:proofErr w:type="gramEnd"/>
      <w:r w:rsidRPr="00FE37AF">
        <w:rPr>
          <w:rFonts w:cs="Arial"/>
        </w:rPr>
        <w:t xml:space="preserve"> licensure or certification is not considered hours worked, if it occurs outside normal working hours</w:t>
      </w:r>
      <w:r w:rsidR="0033334D">
        <w:rPr>
          <w:rFonts w:cs="Arial"/>
        </w:rPr>
        <w:t>.</w:t>
      </w:r>
    </w:p>
    <w:p w14:paraId="47B94C6B" w14:textId="77777777" w:rsidR="00A45719" w:rsidRDefault="00A45719" w:rsidP="0033334D">
      <w:pPr>
        <w:rPr>
          <w:rFonts w:cs="Arial"/>
        </w:rPr>
      </w:pPr>
    </w:p>
    <w:p w14:paraId="1196C91A" w14:textId="77777777" w:rsidR="00A45719" w:rsidRDefault="00A45719" w:rsidP="00A45719">
      <w:pPr>
        <w:rPr>
          <w:rFonts w:cs="Arial"/>
        </w:rPr>
      </w:pPr>
    </w:p>
    <w:p w14:paraId="7E6B0598" w14:textId="77777777" w:rsidR="00A45719" w:rsidRDefault="00A45719" w:rsidP="00A45719">
      <w:pPr>
        <w:rPr>
          <w:rFonts w:cs="Arial"/>
        </w:rPr>
      </w:pPr>
    </w:p>
    <w:p w14:paraId="460DBC9A" w14:textId="77777777" w:rsidR="00A45719" w:rsidRDefault="00A45719" w:rsidP="00A45719">
      <w:pPr>
        <w:rPr>
          <w:rFonts w:cs="Arial"/>
        </w:rPr>
      </w:pPr>
    </w:p>
    <w:p w14:paraId="6DE902D4" w14:textId="1FD685C7" w:rsidR="009633D8" w:rsidRDefault="009633D8" w:rsidP="0033334D">
      <w:pPr>
        <w:rPr>
          <w:rFonts w:cs="Arial"/>
          <w:b/>
          <w:bCs/>
        </w:rPr>
      </w:pPr>
      <w:r w:rsidRPr="00C75006">
        <w:rPr>
          <w:rFonts w:cs="Arial"/>
          <w:kern w:val="2"/>
        </w:rPr>
        <w:t xml:space="preserve"> </w:t>
      </w:r>
    </w:p>
    <w:p w14:paraId="0CB7CBC9" w14:textId="77777777" w:rsidR="009633D8" w:rsidRDefault="009633D8" w:rsidP="008C3023">
      <w:pPr>
        <w:rPr>
          <w:rFonts w:cs="Arial"/>
          <w:b/>
          <w:bCs/>
        </w:rPr>
      </w:pPr>
    </w:p>
    <w:sectPr w:rsidR="009633D8"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55C7E"/>
    <w:multiLevelType w:val="hybridMultilevel"/>
    <w:tmpl w:val="1A521BF4"/>
    <w:lvl w:ilvl="0" w:tplc="4A9A4622">
      <w:start w:val="1"/>
      <w:numFmt w:val="bullet"/>
      <w:lvlText w:val=""/>
      <w:lvlJc w:val="left"/>
      <w:pPr>
        <w:tabs>
          <w:tab w:val="num" w:pos="360"/>
        </w:tabs>
        <w:ind w:left="360" w:hanging="360"/>
      </w:pPr>
      <w:rPr>
        <w:rFonts w:ascii="Wingdings 2" w:hAnsi="Wingdings 2"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4510E"/>
    <w:multiLevelType w:val="hybridMultilevel"/>
    <w:tmpl w:val="F00699B4"/>
    <w:lvl w:ilvl="0" w:tplc="6FD6C100">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0614671"/>
    <w:multiLevelType w:val="singleLevel"/>
    <w:tmpl w:val="FD2C05F2"/>
    <w:lvl w:ilvl="0">
      <w:start w:val="1"/>
      <w:numFmt w:val="decimal"/>
      <w:lvlText w:val="%1."/>
      <w:lvlJc w:val="left"/>
      <w:pPr>
        <w:tabs>
          <w:tab w:val="num" w:pos="360"/>
        </w:tabs>
        <w:ind w:left="360" w:hanging="360"/>
      </w:pPr>
      <w:rPr>
        <w:rFonts w:ascii="Arial" w:hAnsi="Arial" w:hint="default"/>
        <w:color w:val="1D2C4C"/>
        <w:sz w:val="22"/>
      </w:rPr>
    </w:lvl>
  </w:abstractNum>
  <w:abstractNum w:abstractNumId="3" w15:restartNumberingAfterBreak="0">
    <w:nsid w:val="75C02A8E"/>
    <w:multiLevelType w:val="hybridMultilevel"/>
    <w:tmpl w:val="82928400"/>
    <w:lvl w:ilvl="0" w:tplc="FFFFFFFF">
      <w:start w:val="1"/>
      <w:numFmt w:val="bullet"/>
      <w:lvlText w:val=""/>
      <w:lvlJc w:val="left"/>
      <w:pPr>
        <w:tabs>
          <w:tab w:val="num" w:pos="360"/>
        </w:tabs>
        <w:ind w:left="360" w:hanging="360"/>
      </w:pPr>
      <w:rPr>
        <w:rFonts w:ascii="Wingdings 2" w:hAnsi="Wingdings 2" w:hint="default"/>
        <w:color w:val="auto"/>
        <w:sz w:val="24"/>
        <w:szCs w:val="24"/>
      </w:rPr>
    </w:lvl>
    <w:lvl w:ilvl="1" w:tplc="9F8A22FC">
      <w:start w:val="1"/>
      <w:numFmt w:val="bullet"/>
      <w:lvlText w:val="o"/>
      <w:lvlJc w:val="left"/>
      <w:pPr>
        <w:ind w:left="1440" w:hanging="360"/>
      </w:pPr>
      <w:rPr>
        <w:rFonts w:ascii="Courier New" w:hAnsi="Courier New" w:hint="default"/>
        <w:color w:val="1D2C4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2948719">
    <w:abstractNumId w:val="2"/>
  </w:num>
  <w:num w:numId="2" w16cid:durableId="1746798554">
    <w:abstractNumId w:val="0"/>
  </w:num>
  <w:num w:numId="3" w16cid:durableId="1095247600">
    <w:abstractNumId w:val="1"/>
  </w:num>
  <w:num w:numId="4" w16cid:durableId="13602751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40AE3"/>
    <w:rsid w:val="000554AB"/>
    <w:rsid w:val="000F09E9"/>
    <w:rsid w:val="00107D1B"/>
    <w:rsid w:val="00136AB3"/>
    <w:rsid w:val="00191125"/>
    <w:rsid w:val="001922C5"/>
    <w:rsid w:val="001B584B"/>
    <w:rsid w:val="001F5B34"/>
    <w:rsid w:val="002178CB"/>
    <w:rsid w:val="00230DD2"/>
    <w:rsid w:val="0029501D"/>
    <w:rsid w:val="002A0D70"/>
    <w:rsid w:val="002A6B0E"/>
    <w:rsid w:val="002E0908"/>
    <w:rsid w:val="002F6AA5"/>
    <w:rsid w:val="0033334D"/>
    <w:rsid w:val="00395FCD"/>
    <w:rsid w:val="00422E08"/>
    <w:rsid w:val="00453BDD"/>
    <w:rsid w:val="004541A0"/>
    <w:rsid w:val="004807A9"/>
    <w:rsid w:val="005312EA"/>
    <w:rsid w:val="005510A7"/>
    <w:rsid w:val="00570DEA"/>
    <w:rsid w:val="0057332C"/>
    <w:rsid w:val="006542B8"/>
    <w:rsid w:val="00673B91"/>
    <w:rsid w:val="00675F51"/>
    <w:rsid w:val="00685674"/>
    <w:rsid w:val="00685DFA"/>
    <w:rsid w:val="006E5603"/>
    <w:rsid w:val="006E6094"/>
    <w:rsid w:val="006F3343"/>
    <w:rsid w:val="007614AC"/>
    <w:rsid w:val="007F23EF"/>
    <w:rsid w:val="007F43B9"/>
    <w:rsid w:val="00827907"/>
    <w:rsid w:val="00847C83"/>
    <w:rsid w:val="008528B6"/>
    <w:rsid w:val="008B1D66"/>
    <w:rsid w:val="008C3023"/>
    <w:rsid w:val="008C5FB2"/>
    <w:rsid w:val="00915AB8"/>
    <w:rsid w:val="0092093D"/>
    <w:rsid w:val="009633D8"/>
    <w:rsid w:val="009A6F2D"/>
    <w:rsid w:val="00A20B40"/>
    <w:rsid w:val="00A330A3"/>
    <w:rsid w:val="00A45719"/>
    <w:rsid w:val="00A53547"/>
    <w:rsid w:val="00A71BE5"/>
    <w:rsid w:val="00A76D1D"/>
    <w:rsid w:val="00AA7B73"/>
    <w:rsid w:val="00B0438F"/>
    <w:rsid w:val="00B4402E"/>
    <w:rsid w:val="00BA7228"/>
    <w:rsid w:val="00BB26BE"/>
    <w:rsid w:val="00BB6A6B"/>
    <w:rsid w:val="00BE3CDF"/>
    <w:rsid w:val="00C356E2"/>
    <w:rsid w:val="00C702FD"/>
    <w:rsid w:val="00C83B09"/>
    <w:rsid w:val="00C952C5"/>
    <w:rsid w:val="00CA12E6"/>
    <w:rsid w:val="00CA73D3"/>
    <w:rsid w:val="00CF416B"/>
    <w:rsid w:val="00D101C3"/>
    <w:rsid w:val="00D5796D"/>
    <w:rsid w:val="00D75FC8"/>
    <w:rsid w:val="00DA28BF"/>
    <w:rsid w:val="00DC4324"/>
    <w:rsid w:val="00E31BE3"/>
    <w:rsid w:val="00E402A8"/>
    <w:rsid w:val="00E42DD1"/>
    <w:rsid w:val="00E817E6"/>
    <w:rsid w:val="00E949DD"/>
    <w:rsid w:val="00EC5AD1"/>
    <w:rsid w:val="00EC60AC"/>
    <w:rsid w:val="00EE28FA"/>
    <w:rsid w:val="00F03AFE"/>
    <w:rsid w:val="00F34BEF"/>
    <w:rsid w:val="00F45BA8"/>
    <w:rsid w:val="00F6569D"/>
    <w:rsid w:val="00F84C2B"/>
    <w:rsid w:val="00FC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A457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6542B8"/>
    <w:pPr>
      <w:numPr>
        <w:ilvl w:val="12"/>
      </w:numPr>
    </w:pPr>
    <w:rPr>
      <w:rFonts w:eastAsia="Times New Roman" w:cs="Arial"/>
      <w:b/>
      <w:color w:val="1D2C4C"/>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text">
    <w:name w:val="text"/>
    <w:basedOn w:val="DefaultParagraphFont"/>
    <w:rsid w:val="00CA12E6"/>
  </w:style>
  <w:style w:type="table" w:styleId="TableGrid">
    <w:name w:val="Table Grid"/>
    <w:basedOn w:val="TableNormal"/>
    <w:uiPriority w:val="39"/>
    <w:rsid w:val="004541A0"/>
    <w:pPr>
      <w:spacing w:line="240" w:lineRule="auto"/>
    </w:pPr>
    <w:rPr>
      <w:rFonts w:asciiTheme="minorHAnsi" w:eastAsia="Times New Roman" w:hAnsiTheme="minorHAns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4571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2023-07-26T22:01:00Z</dcterms:created>
  <dcterms:modified xsi:type="dcterms:W3CDTF">2023-07-26T22:01:00Z</dcterms:modified>
</cp:coreProperties>
</file>