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AD5E5" w14:textId="77777777" w:rsidR="00AD5856" w:rsidRDefault="00AD5856" w:rsidP="00AD5856">
      <w:pPr>
        <w:rPr>
          <w:b/>
          <w:color w:val="000000"/>
          <w:sz w:val="40"/>
          <w:szCs w:val="40"/>
        </w:rPr>
      </w:pPr>
      <w:r>
        <w:rPr>
          <w:noProof/>
        </w:rPr>
        <w:drawing>
          <wp:anchor distT="0" distB="0" distL="114300" distR="114300" simplePos="0" relativeHeight="251659264" behindDoc="0" locked="0" layoutInCell="1" allowOverlap="1" wp14:anchorId="721E70D6" wp14:editId="14DBC35F">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1F3C8C08" w14:textId="77777777" w:rsidR="00AD5856" w:rsidRPr="00917939" w:rsidRDefault="00AD5856" w:rsidP="00AD5856">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0D4E093" w14:textId="77777777" w:rsidR="00AD5856" w:rsidRPr="00917939" w:rsidRDefault="00AD5856" w:rsidP="00AD5856">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31B86728" w14:textId="77777777" w:rsidR="00AD5856" w:rsidRPr="00F72435" w:rsidRDefault="00AD5856" w:rsidP="00AD5856">
      <w:pPr>
        <w:rPr>
          <w:b/>
          <w:color w:val="000000"/>
          <w:sz w:val="40"/>
          <w:szCs w:val="40"/>
        </w:rPr>
      </w:pPr>
    </w:p>
    <w:p w14:paraId="0A5A37D6" w14:textId="77777777" w:rsidR="00FD25F3" w:rsidRPr="004B6E18" w:rsidRDefault="00EC3F0C" w:rsidP="00A77CC3">
      <w:pPr>
        <w:pStyle w:val="DefinitionTerm"/>
        <w:spacing w:after="120"/>
        <w:rPr>
          <w:rFonts w:ascii="Arial" w:hAnsi="Arial" w:cs="Arial"/>
          <w:sz w:val="40"/>
          <w:szCs w:val="40"/>
        </w:rPr>
      </w:pPr>
      <w:r w:rsidRPr="004B6E18">
        <w:rPr>
          <w:rFonts w:ascii="Arial" w:hAnsi="Arial" w:cs="Arial"/>
          <w:sz w:val="40"/>
          <w:szCs w:val="40"/>
        </w:rPr>
        <w:t xml:space="preserve">Sample Workplace Gambling Policy </w:t>
      </w:r>
    </w:p>
    <w:p w14:paraId="421CB91A" w14:textId="77777777" w:rsidR="000A3F36" w:rsidRPr="004B6E18" w:rsidRDefault="000A3F36" w:rsidP="00A77CC3">
      <w:pPr>
        <w:rPr>
          <w:rFonts w:ascii="Arial" w:hAnsi="Arial" w:cs="Arial"/>
          <w:color w:val="000000"/>
          <w:szCs w:val="24"/>
          <w:lang w:val="en"/>
        </w:rPr>
      </w:pPr>
      <w:bookmarkStart w:id="0" w:name="Procedures1"/>
      <w:bookmarkStart w:id="1" w:name="_Hlt9756538"/>
    </w:p>
    <w:p w14:paraId="62F5E24D" w14:textId="77777777" w:rsidR="00185D1D" w:rsidRPr="004B6E18" w:rsidRDefault="00EC3F0C" w:rsidP="00AD5856">
      <w:pPr>
        <w:spacing w:line="300" w:lineRule="exact"/>
        <w:rPr>
          <w:rFonts w:ascii="Arial" w:hAnsi="Arial" w:cs="Arial"/>
          <w:color w:val="000000"/>
          <w:sz w:val="22"/>
          <w:szCs w:val="24"/>
          <w:lang w:val="en"/>
        </w:rPr>
      </w:pPr>
      <w:r w:rsidRPr="004B6E18">
        <w:rPr>
          <w:rFonts w:ascii="Arial" w:hAnsi="Arial" w:cs="Arial"/>
          <w:color w:val="000000"/>
          <w:sz w:val="22"/>
          <w:szCs w:val="24"/>
          <w:lang w:val="en"/>
        </w:rPr>
        <w:t>The Company</w:t>
      </w:r>
      <w:r w:rsidR="00185D1D" w:rsidRPr="004B6E18">
        <w:rPr>
          <w:rFonts w:ascii="Arial" w:hAnsi="Arial" w:cs="Arial"/>
          <w:color w:val="000000"/>
          <w:sz w:val="22"/>
          <w:szCs w:val="24"/>
          <w:lang w:val="en"/>
        </w:rPr>
        <w:t xml:space="preserve"> is committed to promoting a productive and </w:t>
      </w:r>
      <w:r w:rsidR="00FD25F3" w:rsidRPr="004B6E18">
        <w:rPr>
          <w:rFonts w:ascii="Arial" w:hAnsi="Arial" w:cs="Arial"/>
          <w:color w:val="000000"/>
          <w:sz w:val="22"/>
          <w:szCs w:val="24"/>
          <w:lang w:val="en"/>
        </w:rPr>
        <w:t>health</w:t>
      </w:r>
      <w:r w:rsidR="00185D1D" w:rsidRPr="004B6E18">
        <w:rPr>
          <w:rFonts w:ascii="Arial" w:hAnsi="Arial" w:cs="Arial"/>
          <w:color w:val="000000"/>
          <w:sz w:val="22"/>
          <w:szCs w:val="24"/>
          <w:lang w:val="en"/>
        </w:rPr>
        <w:t>y work environment for</w:t>
      </w:r>
      <w:r w:rsidR="00FD25F3" w:rsidRPr="004B6E18">
        <w:rPr>
          <w:rFonts w:ascii="Arial" w:hAnsi="Arial" w:cs="Arial"/>
          <w:color w:val="000000"/>
          <w:sz w:val="22"/>
          <w:szCs w:val="24"/>
          <w:lang w:val="en"/>
        </w:rPr>
        <w:t xml:space="preserve"> all </w:t>
      </w:r>
      <w:r w:rsidR="00185D1D" w:rsidRPr="004B6E18">
        <w:rPr>
          <w:rFonts w:ascii="Arial" w:hAnsi="Arial" w:cs="Arial"/>
          <w:color w:val="000000"/>
          <w:sz w:val="22"/>
          <w:szCs w:val="24"/>
          <w:lang w:val="en"/>
        </w:rPr>
        <w:t>our</w:t>
      </w:r>
      <w:r w:rsidR="00FD25F3" w:rsidRPr="004B6E18">
        <w:rPr>
          <w:rFonts w:ascii="Arial" w:hAnsi="Arial" w:cs="Arial"/>
          <w:color w:val="000000"/>
          <w:sz w:val="22"/>
          <w:szCs w:val="24"/>
          <w:lang w:val="en"/>
        </w:rPr>
        <w:t xml:space="preserve"> employees. </w:t>
      </w:r>
      <w:r w:rsidR="00DB29FF" w:rsidRPr="004B6E18">
        <w:rPr>
          <w:rFonts w:ascii="Arial" w:hAnsi="Arial" w:cs="Arial"/>
          <w:color w:val="000000"/>
          <w:sz w:val="22"/>
          <w:szCs w:val="24"/>
          <w:lang w:val="en"/>
        </w:rPr>
        <w:t xml:space="preserve"> Employees’ physical, mental and financial well-being is important to us.  </w:t>
      </w:r>
    </w:p>
    <w:p w14:paraId="0DF7853C" w14:textId="77777777" w:rsidR="00185D1D" w:rsidRPr="004B6E18" w:rsidRDefault="00185D1D" w:rsidP="00AD5856">
      <w:pPr>
        <w:spacing w:line="300" w:lineRule="exact"/>
        <w:rPr>
          <w:rFonts w:ascii="Arial" w:hAnsi="Arial" w:cs="Arial"/>
          <w:color w:val="000000"/>
          <w:sz w:val="22"/>
          <w:szCs w:val="24"/>
          <w:lang w:val="en"/>
        </w:rPr>
      </w:pPr>
    </w:p>
    <w:p w14:paraId="6BBEF96E" w14:textId="77777777" w:rsidR="00FD25F3" w:rsidRPr="004B6E18" w:rsidRDefault="00BF3D05" w:rsidP="00AD5856">
      <w:pPr>
        <w:spacing w:line="300" w:lineRule="exact"/>
        <w:rPr>
          <w:rFonts w:ascii="Arial" w:hAnsi="Arial" w:cs="Arial"/>
          <w:color w:val="000000"/>
          <w:sz w:val="22"/>
          <w:szCs w:val="24"/>
          <w:lang w:val="en"/>
        </w:rPr>
      </w:pPr>
      <w:r w:rsidRPr="004B6E18">
        <w:rPr>
          <w:rFonts w:ascii="Arial" w:hAnsi="Arial" w:cs="Arial"/>
          <w:color w:val="000000"/>
          <w:sz w:val="22"/>
          <w:szCs w:val="24"/>
          <w:lang w:val="en"/>
        </w:rPr>
        <w:t>The Company seeks</w:t>
      </w:r>
      <w:r w:rsidR="00FD25F3" w:rsidRPr="004B6E18">
        <w:rPr>
          <w:rFonts w:ascii="Arial" w:hAnsi="Arial" w:cs="Arial"/>
          <w:color w:val="000000"/>
          <w:sz w:val="22"/>
          <w:szCs w:val="24"/>
          <w:lang w:val="en"/>
        </w:rPr>
        <w:t xml:space="preserve"> to create a supportive workplace environment in which employees feel comfortable and supported in seeking assistance and recovering from a variety of behavioral health iss</w:t>
      </w:r>
      <w:r w:rsidR="00185D1D" w:rsidRPr="004B6E18">
        <w:rPr>
          <w:rFonts w:ascii="Arial" w:hAnsi="Arial" w:cs="Arial"/>
          <w:color w:val="000000"/>
          <w:sz w:val="22"/>
          <w:szCs w:val="24"/>
          <w:lang w:val="en"/>
        </w:rPr>
        <w:t>ues, including problem gambling</w:t>
      </w:r>
      <w:r w:rsidR="00FD25F3" w:rsidRPr="004B6E18">
        <w:rPr>
          <w:rFonts w:ascii="Arial" w:hAnsi="Arial" w:cs="Arial"/>
          <w:color w:val="000000"/>
          <w:sz w:val="22"/>
          <w:szCs w:val="24"/>
          <w:lang w:val="en"/>
        </w:rPr>
        <w:t xml:space="preserve">. </w:t>
      </w:r>
    </w:p>
    <w:p w14:paraId="1873D85D" w14:textId="77777777" w:rsidR="00BF3D05" w:rsidRPr="004B6E18" w:rsidRDefault="00BF3D05" w:rsidP="00AD5856">
      <w:pPr>
        <w:spacing w:line="300" w:lineRule="exact"/>
        <w:rPr>
          <w:rFonts w:ascii="Arial" w:hAnsi="Arial" w:cs="Arial"/>
          <w:color w:val="000000"/>
          <w:sz w:val="22"/>
          <w:szCs w:val="24"/>
          <w:lang w:val="en"/>
        </w:rPr>
      </w:pPr>
    </w:p>
    <w:p w14:paraId="2F4034BD" w14:textId="77777777" w:rsidR="00BF3D05" w:rsidRPr="004B6E18" w:rsidRDefault="00BF3D05" w:rsidP="00AD5856">
      <w:pPr>
        <w:spacing w:line="300" w:lineRule="exact"/>
        <w:rPr>
          <w:rFonts w:ascii="Arial" w:hAnsi="Arial" w:cs="Arial"/>
          <w:color w:val="000000"/>
          <w:sz w:val="22"/>
          <w:szCs w:val="24"/>
          <w:lang w:val="en"/>
        </w:rPr>
      </w:pPr>
      <w:r w:rsidRPr="004B6E18">
        <w:rPr>
          <w:rFonts w:ascii="Arial" w:hAnsi="Arial" w:cs="Arial"/>
          <w:color w:val="000000"/>
          <w:sz w:val="22"/>
          <w:szCs w:val="24"/>
          <w:lang w:val="en"/>
        </w:rPr>
        <w:t xml:space="preserve">In keeping with our values, the Company prohibits employee gambling at all places during work hours, and on </w:t>
      </w:r>
      <w:r w:rsidR="000A3F36" w:rsidRPr="004B6E18">
        <w:rPr>
          <w:rFonts w:ascii="Arial" w:hAnsi="Arial" w:cs="Arial"/>
          <w:color w:val="000000"/>
          <w:sz w:val="22"/>
          <w:szCs w:val="24"/>
          <w:lang w:val="en"/>
        </w:rPr>
        <w:t>C</w:t>
      </w:r>
      <w:r w:rsidRPr="004B6E18">
        <w:rPr>
          <w:rFonts w:ascii="Arial" w:hAnsi="Arial" w:cs="Arial"/>
          <w:color w:val="000000"/>
          <w:sz w:val="22"/>
          <w:szCs w:val="24"/>
          <w:lang w:val="en"/>
        </w:rPr>
        <w:t xml:space="preserve">ompany premises at all times—including breaks and meal periods.  The Company also prohibits the use of </w:t>
      </w:r>
      <w:r w:rsidR="000A3F36" w:rsidRPr="004B6E18">
        <w:rPr>
          <w:rFonts w:ascii="Arial" w:hAnsi="Arial" w:cs="Arial"/>
          <w:color w:val="000000"/>
          <w:sz w:val="22"/>
          <w:szCs w:val="24"/>
          <w:lang w:val="en"/>
        </w:rPr>
        <w:t>C</w:t>
      </w:r>
      <w:r w:rsidRPr="004B6E18">
        <w:rPr>
          <w:rFonts w:ascii="Arial" w:hAnsi="Arial" w:cs="Arial"/>
          <w:color w:val="000000"/>
          <w:sz w:val="22"/>
          <w:szCs w:val="24"/>
          <w:lang w:val="en"/>
        </w:rPr>
        <w:t xml:space="preserve">ompany equipment to participate in gambling, including </w:t>
      </w:r>
      <w:r w:rsidR="000A3F36" w:rsidRPr="004B6E18">
        <w:rPr>
          <w:rFonts w:ascii="Arial" w:hAnsi="Arial" w:cs="Arial"/>
          <w:color w:val="000000"/>
          <w:sz w:val="22"/>
          <w:szCs w:val="24"/>
          <w:lang w:val="en"/>
        </w:rPr>
        <w:t>C</w:t>
      </w:r>
      <w:r w:rsidRPr="004B6E18">
        <w:rPr>
          <w:rFonts w:ascii="Arial" w:hAnsi="Arial" w:cs="Arial"/>
          <w:color w:val="000000"/>
          <w:sz w:val="22"/>
          <w:szCs w:val="24"/>
          <w:lang w:val="en"/>
        </w:rPr>
        <w:t>ompany</w:t>
      </w:r>
      <w:r w:rsidR="00A77CC3" w:rsidRPr="004B6E18">
        <w:rPr>
          <w:rFonts w:ascii="Arial" w:hAnsi="Arial" w:cs="Arial"/>
          <w:color w:val="000000"/>
          <w:sz w:val="22"/>
          <w:szCs w:val="24"/>
          <w:lang w:val="en"/>
        </w:rPr>
        <w:t>-</w:t>
      </w:r>
      <w:r w:rsidRPr="004B6E18">
        <w:rPr>
          <w:rFonts w:ascii="Arial" w:hAnsi="Arial" w:cs="Arial"/>
          <w:color w:val="000000"/>
          <w:sz w:val="22"/>
          <w:szCs w:val="24"/>
          <w:lang w:val="en"/>
        </w:rPr>
        <w:t>provided</w:t>
      </w:r>
      <w:r w:rsidR="00A77CC3" w:rsidRPr="004B6E18">
        <w:rPr>
          <w:rFonts w:ascii="Arial" w:hAnsi="Arial" w:cs="Arial"/>
          <w:color w:val="000000"/>
          <w:sz w:val="22"/>
          <w:szCs w:val="24"/>
          <w:lang w:val="en"/>
        </w:rPr>
        <w:t xml:space="preserve"> </w:t>
      </w:r>
      <w:r w:rsidRPr="004B6E18">
        <w:rPr>
          <w:rFonts w:ascii="Arial" w:hAnsi="Arial" w:cs="Arial"/>
          <w:color w:val="000000"/>
          <w:sz w:val="22"/>
          <w:szCs w:val="24"/>
          <w:lang w:val="en"/>
        </w:rPr>
        <w:t xml:space="preserve">cell phones and computers.  Gambling is defined as: the wagering of money or other valuables on the outcome of events. This includes, but is not limited to, card and dice games, any kind of pools, lotteries, raffles, and Internet gambling. </w:t>
      </w:r>
    </w:p>
    <w:p w14:paraId="4D33FF0A" w14:textId="77777777" w:rsidR="00BF3D05" w:rsidRPr="004B6E18" w:rsidRDefault="00BF3D05" w:rsidP="00AD5856">
      <w:pPr>
        <w:spacing w:line="300" w:lineRule="exact"/>
        <w:rPr>
          <w:rFonts w:ascii="Arial" w:hAnsi="Arial" w:cs="Arial"/>
          <w:color w:val="000000"/>
          <w:sz w:val="22"/>
          <w:szCs w:val="24"/>
          <w:lang w:val="en"/>
        </w:rPr>
      </w:pPr>
    </w:p>
    <w:p w14:paraId="5ECC0E4E" w14:textId="77777777" w:rsidR="00FD25F3" w:rsidRPr="004B6E18" w:rsidRDefault="00BF3D05" w:rsidP="00AD5856">
      <w:pPr>
        <w:spacing w:line="300" w:lineRule="exact"/>
        <w:rPr>
          <w:rFonts w:ascii="Arial" w:hAnsi="Arial" w:cs="Arial"/>
          <w:color w:val="000000"/>
          <w:sz w:val="22"/>
          <w:szCs w:val="24"/>
          <w:lang w:val="en"/>
        </w:rPr>
      </w:pPr>
      <w:bookmarkStart w:id="2" w:name="Purpose1"/>
      <w:bookmarkEnd w:id="2"/>
      <w:r w:rsidRPr="004B6E18">
        <w:rPr>
          <w:rFonts w:ascii="Arial" w:hAnsi="Arial" w:cs="Arial"/>
          <w:color w:val="000000"/>
          <w:sz w:val="22"/>
          <w:szCs w:val="24"/>
          <w:lang w:val="en"/>
        </w:rPr>
        <w:t>E</w:t>
      </w:r>
      <w:r w:rsidR="00185D1D" w:rsidRPr="004B6E18">
        <w:rPr>
          <w:rFonts w:ascii="Arial" w:hAnsi="Arial" w:cs="Arial"/>
          <w:color w:val="000000"/>
          <w:sz w:val="22"/>
          <w:szCs w:val="24"/>
          <w:lang w:val="en"/>
        </w:rPr>
        <w:t>xceptions</w:t>
      </w:r>
      <w:r w:rsidRPr="004B6E18">
        <w:rPr>
          <w:rFonts w:ascii="Arial" w:hAnsi="Arial" w:cs="Arial"/>
          <w:color w:val="000000"/>
          <w:sz w:val="22"/>
          <w:szCs w:val="24"/>
          <w:lang w:val="en"/>
        </w:rPr>
        <w:t xml:space="preserve"> to this policy</w:t>
      </w:r>
      <w:r w:rsidR="00185D1D" w:rsidRPr="004B6E18">
        <w:rPr>
          <w:rFonts w:ascii="Arial" w:hAnsi="Arial" w:cs="Arial"/>
          <w:color w:val="000000"/>
          <w:sz w:val="22"/>
          <w:szCs w:val="24"/>
          <w:lang w:val="en"/>
        </w:rPr>
        <w:t xml:space="preserve"> may be made for activities related to a Company-</w:t>
      </w:r>
      <w:r w:rsidR="00FD25F3" w:rsidRPr="004B6E18">
        <w:rPr>
          <w:rFonts w:ascii="Arial" w:hAnsi="Arial" w:cs="Arial"/>
          <w:color w:val="000000"/>
          <w:sz w:val="22"/>
          <w:szCs w:val="24"/>
          <w:lang w:val="en"/>
        </w:rPr>
        <w:t xml:space="preserve">approved charitable fundraiser. </w:t>
      </w:r>
    </w:p>
    <w:p w14:paraId="554DA0D9" w14:textId="77777777" w:rsidR="00BF3D05" w:rsidRPr="004B6E18" w:rsidRDefault="00BF3D05" w:rsidP="00AD5856">
      <w:pPr>
        <w:spacing w:line="300" w:lineRule="exact"/>
        <w:rPr>
          <w:rFonts w:ascii="Arial" w:hAnsi="Arial" w:cs="Arial"/>
          <w:color w:val="000000"/>
          <w:sz w:val="22"/>
          <w:szCs w:val="24"/>
          <w:lang w:val="en"/>
        </w:rPr>
      </w:pPr>
    </w:p>
    <w:p w14:paraId="1E208EDC" w14:textId="4D5AFF23" w:rsidR="00BF3D05" w:rsidRPr="004B6E18" w:rsidRDefault="00BF3D05" w:rsidP="00AD5856">
      <w:pPr>
        <w:spacing w:line="300" w:lineRule="exact"/>
        <w:rPr>
          <w:rFonts w:ascii="Arial" w:hAnsi="Arial" w:cs="Arial"/>
          <w:color w:val="000000"/>
          <w:sz w:val="22"/>
          <w:szCs w:val="24"/>
          <w:lang w:val="en"/>
        </w:rPr>
      </w:pPr>
      <w:r w:rsidRPr="004B6E18">
        <w:rPr>
          <w:rFonts w:ascii="Arial" w:hAnsi="Arial" w:cs="Arial"/>
          <w:color w:val="000000"/>
          <w:sz w:val="22"/>
          <w:szCs w:val="24"/>
          <w:lang w:val="en"/>
        </w:rPr>
        <w:t xml:space="preserve">Violation of this policy can result in </w:t>
      </w:r>
      <w:r w:rsidR="00AB4F0F">
        <w:rPr>
          <w:rFonts w:ascii="Arial" w:hAnsi="Arial" w:cs="Arial"/>
          <w:color w:val="000000"/>
          <w:sz w:val="22"/>
          <w:szCs w:val="24"/>
          <w:lang w:val="en"/>
        </w:rPr>
        <w:t>corrective</w:t>
      </w:r>
      <w:r w:rsidRPr="004B6E18">
        <w:rPr>
          <w:rFonts w:ascii="Arial" w:hAnsi="Arial" w:cs="Arial"/>
          <w:color w:val="000000"/>
          <w:sz w:val="22"/>
          <w:szCs w:val="24"/>
          <w:lang w:val="en"/>
        </w:rPr>
        <w:t xml:space="preserve"> action, up to and including </w:t>
      </w:r>
      <w:r w:rsidR="00AB4F0F">
        <w:rPr>
          <w:rFonts w:ascii="Arial" w:hAnsi="Arial" w:cs="Arial"/>
          <w:color w:val="000000"/>
          <w:sz w:val="22"/>
          <w:szCs w:val="24"/>
          <w:lang w:val="en"/>
        </w:rPr>
        <w:t>termination</w:t>
      </w:r>
      <w:r w:rsidRPr="004B6E18">
        <w:rPr>
          <w:rFonts w:ascii="Arial" w:hAnsi="Arial" w:cs="Arial"/>
          <w:color w:val="000000"/>
          <w:sz w:val="22"/>
          <w:szCs w:val="24"/>
          <w:lang w:val="en"/>
        </w:rPr>
        <w:t xml:space="preserve">.  </w:t>
      </w:r>
    </w:p>
    <w:p w14:paraId="62154238" w14:textId="77777777" w:rsidR="00BF3D05" w:rsidRPr="004B6E18" w:rsidRDefault="00BF3D05" w:rsidP="00AD5856">
      <w:pPr>
        <w:spacing w:line="300" w:lineRule="exact"/>
        <w:rPr>
          <w:rFonts w:ascii="Arial" w:hAnsi="Arial" w:cs="Arial"/>
          <w:color w:val="000000"/>
          <w:sz w:val="22"/>
          <w:szCs w:val="24"/>
          <w:lang w:val="en"/>
        </w:rPr>
      </w:pPr>
    </w:p>
    <w:p w14:paraId="649A564D" w14:textId="77777777" w:rsidR="00FD25F3" w:rsidRPr="004B6E18" w:rsidRDefault="00BF3D05" w:rsidP="00AD5856">
      <w:pPr>
        <w:spacing w:line="300" w:lineRule="exact"/>
        <w:rPr>
          <w:rFonts w:ascii="Arial" w:hAnsi="Arial" w:cs="Arial"/>
          <w:color w:val="000000"/>
          <w:sz w:val="22"/>
          <w:szCs w:val="24"/>
          <w:lang w:val="en"/>
        </w:rPr>
      </w:pPr>
      <w:r w:rsidRPr="004B6E18">
        <w:rPr>
          <w:rFonts w:ascii="Arial" w:hAnsi="Arial" w:cs="Arial"/>
          <w:color w:val="000000"/>
          <w:sz w:val="22"/>
          <w:szCs w:val="24"/>
          <w:lang w:val="en"/>
        </w:rPr>
        <w:t xml:space="preserve">If you might have a gambling problem, please contact Human Resources for information and treatment assistance. </w:t>
      </w:r>
      <w:r w:rsidR="004B6E18">
        <w:rPr>
          <w:rFonts w:ascii="Arial" w:hAnsi="Arial" w:cs="Arial"/>
          <w:color w:val="000000"/>
          <w:sz w:val="22"/>
          <w:szCs w:val="24"/>
          <w:lang w:val="en"/>
        </w:rPr>
        <w:t xml:space="preserve">No employee </w:t>
      </w:r>
      <w:r w:rsidR="004D74A8">
        <w:rPr>
          <w:rFonts w:ascii="Arial" w:hAnsi="Arial" w:cs="Arial"/>
          <w:color w:val="000000"/>
          <w:sz w:val="22"/>
          <w:szCs w:val="24"/>
          <w:lang w:val="en"/>
        </w:rPr>
        <w:t>voluntarily seeking assistance before it impacts your performance and before violating this policy will be subject to disciplinary action solely for seeking help</w:t>
      </w:r>
      <w:r w:rsidR="004B6E18">
        <w:rPr>
          <w:rFonts w:ascii="Arial" w:hAnsi="Arial" w:cs="Arial"/>
          <w:color w:val="000000"/>
          <w:sz w:val="22"/>
          <w:szCs w:val="24"/>
          <w:lang w:val="en"/>
        </w:rPr>
        <w:t xml:space="preserve">. </w:t>
      </w:r>
      <w:r w:rsidRPr="004B6E18">
        <w:rPr>
          <w:rFonts w:ascii="Arial" w:hAnsi="Arial" w:cs="Arial"/>
          <w:color w:val="000000"/>
          <w:sz w:val="22"/>
          <w:szCs w:val="24"/>
          <w:lang w:val="en"/>
        </w:rPr>
        <w:t xml:space="preserve">Free, </w:t>
      </w:r>
      <w:r w:rsidR="00FD25F3" w:rsidRPr="004B6E18">
        <w:rPr>
          <w:rFonts w:ascii="Arial" w:hAnsi="Arial" w:cs="Arial"/>
          <w:color w:val="000000"/>
          <w:sz w:val="22"/>
          <w:szCs w:val="24"/>
          <w:lang w:val="en"/>
        </w:rPr>
        <w:t xml:space="preserve">confidential treatment for gambling problems is available throughout the State via the Oregon Problem Gambling Helpline </w:t>
      </w:r>
      <w:r w:rsidR="00017F4D">
        <w:rPr>
          <w:rFonts w:ascii="Arial" w:hAnsi="Arial" w:cs="Arial"/>
          <w:color w:val="000000"/>
          <w:sz w:val="22"/>
          <w:szCs w:val="24"/>
          <w:lang w:val="en"/>
        </w:rPr>
        <w:t xml:space="preserve">at 1-877-MyLimit </w:t>
      </w:r>
      <w:r w:rsidR="00FD25F3" w:rsidRPr="004B6E18">
        <w:rPr>
          <w:rFonts w:ascii="Arial" w:hAnsi="Arial" w:cs="Arial"/>
          <w:color w:val="000000"/>
          <w:sz w:val="22"/>
          <w:szCs w:val="24"/>
          <w:lang w:val="en"/>
        </w:rPr>
        <w:t>(</w:t>
      </w:r>
      <w:r w:rsidR="00017F4D">
        <w:rPr>
          <w:rFonts w:ascii="Arial" w:hAnsi="Arial" w:cs="Arial"/>
          <w:color w:val="000000"/>
          <w:sz w:val="22"/>
          <w:szCs w:val="24"/>
          <w:lang w:val="en"/>
        </w:rPr>
        <w:t>1-877-695-4648</w:t>
      </w:r>
      <w:r w:rsidR="00FD25F3" w:rsidRPr="004B6E18">
        <w:rPr>
          <w:rFonts w:ascii="Arial" w:hAnsi="Arial" w:cs="Arial"/>
          <w:color w:val="000000"/>
          <w:sz w:val="22"/>
          <w:szCs w:val="24"/>
          <w:lang w:val="en"/>
        </w:rPr>
        <w:t xml:space="preserve">).  </w:t>
      </w:r>
    </w:p>
    <w:p w14:paraId="0FEDC0C3" w14:textId="77777777" w:rsidR="00A77CC3" w:rsidRPr="004B6E18" w:rsidRDefault="00A77CC3" w:rsidP="00AD5856">
      <w:pPr>
        <w:spacing w:line="300" w:lineRule="exact"/>
        <w:rPr>
          <w:rFonts w:ascii="Arial" w:hAnsi="Arial" w:cs="Arial"/>
          <w:color w:val="000000"/>
          <w:szCs w:val="24"/>
          <w:lang w:val="en"/>
        </w:rPr>
      </w:pPr>
    </w:p>
    <w:p w14:paraId="2F08A4D3" w14:textId="77777777" w:rsidR="00A77CC3" w:rsidRPr="004B6E18" w:rsidRDefault="00A77CC3" w:rsidP="00A77CC3">
      <w:pPr>
        <w:spacing w:line="300" w:lineRule="exact"/>
        <w:rPr>
          <w:rFonts w:ascii="Arial" w:hAnsi="Arial" w:cs="Arial"/>
          <w:color w:val="000000"/>
          <w:szCs w:val="24"/>
          <w:lang w:val="en"/>
        </w:rPr>
      </w:pPr>
    </w:p>
    <w:p w14:paraId="79A7FE07" w14:textId="77777777" w:rsidR="00A77CC3" w:rsidRPr="004B6E18" w:rsidRDefault="00A77CC3" w:rsidP="00A77CC3">
      <w:pPr>
        <w:spacing w:line="300" w:lineRule="exact"/>
        <w:rPr>
          <w:rFonts w:ascii="Arial" w:hAnsi="Arial" w:cs="Arial"/>
          <w:color w:val="000000"/>
          <w:szCs w:val="24"/>
          <w:lang w:val="en"/>
        </w:rPr>
      </w:pPr>
    </w:p>
    <w:p w14:paraId="3CC94868" w14:textId="77777777" w:rsidR="00A77CC3" w:rsidRPr="004B6E18" w:rsidRDefault="00A77CC3" w:rsidP="00A77CC3">
      <w:pPr>
        <w:spacing w:line="300" w:lineRule="exact"/>
        <w:rPr>
          <w:rFonts w:ascii="Arial" w:hAnsi="Arial" w:cs="Arial"/>
          <w:color w:val="000000"/>
          <w:szCs w:val="24"/>
          <w:lang w:val="en"/>
        </w:rPr>
      </w:pPr>
    </w:p>
    <w:p w14:paraId="10EB8CFC" w14:textId="77777777" w:rsidR="00A77CC3" w:rsidRPr="004B6E18" w:rsidRDefault="00A77CC3" w:rsidP="00A77CC3">
      <w:pPr>
        <w:spacing w:line="300" w:lineRule="exact"/>
        <w:rPr>
          <w:rFonts w:ascii="Arial" w:hAnsi="Arial" w:cs="Arial"/>
          <w:color w:val="000000"/>
          <w:szCs w:val="24"/>
          <w:lang w:val="en"/>
        </w:rPr>
      </w:pPr>
    </w:p>
    <w:p w14:paraId="378C52CC" w14:textId="77777777" w:rsidR="00A77CC3" w:rsidRPr="004B6E18" w:rsidRDefault="00A77CC3" w:rsidP="00A77CC3">
      <w:pPr>
        <w:spacing w:line="300" w:lineRule="exact"/>
        <w:rPr>
          <w:rFonts w:ascii="Arial" w:hAnsi="Arial" w:cs="Arial"/>
          <w:color w:val="000000"/>
          <w:szCs w:val="24"/>
          <w:lang w:val="en"/>
        </w:rPr>
      </w:pPr>
    </w:p>
    <w:p w14:paraId="1D513F3E" w14:textId="77777777" w:rsidR="00A77CC3" w:rsidRPr="004B6E18" w:rsidRDefault="00A77CC3" w:rsidP="00A77CC3">
      <w:pPr>
        <w:spacing w:line="300" w:lineRule="exact"/>
        <w:rPr>
          <w:rFonts w:ascii="Arial" w:hAnsi="Arial" w:cs="Arial"/>
          <w:color w:val="000000"/>
          <w:szCs w:val="24"/>
          <w:lang w:val="en"/>
        </w:rPr>
      </w:pPr>
    </w:p>
    <w:p w14:paraId="50F3ECE9" w14:textId="77777777" w:rsidR="00A77CC3" w:rsidRPr="004B6E18" w:rsidRDefault="00A77CC3" w:rsidP="00A77CC3">
      <w:pPr>
        <w:spacing w:line="300" w:lineRule="exact"/>
        <w:rPr>
          <w:rFonts w:ascii="Arial" w:hAnsi="Arial" w:cs="Arial"/>
          <w:color w:val="000000"/>
          <w:szCs w:val="24"/>
          <w:lang w:val="en"/>
        </w:rPr>
      </w:pPr>
    </w:p>
    <w:p w14:paraId="38D49A1C" w14:textId="77777777" w:rsidR="00A77CC3" w:rsidRPr="004B6E18" w:rsidRDefault="00A77CC3" w:rsidP="00A77CC3">
      <w:pPr>
        <w:spacing w:line="300" w:lineRule="exact"/>
        <w:rPr>
          <w:rFonts w:ascii="Arial" w:hAnsi="Arial" w:cs="Arial"/>
          <w:color w:val="000000"/>
          <w:szCs w:val="24"/>
          <w:lang w:val="en"/>
        </w:rPr>
      </w:pPr>
    </w:p>
    <w:bookmarkEnd w:id="0"/>
    <w:bookmarkEnd w:id="1"/>
    <w:p w14:paraId="4F28FA7D" w14:textId="77777777" w:rsidR="00FD25F3" w:rsidRPr="004B6E18" w:rsidRDefault="00017F4D" w:rsidP="00A77CC3">
      <w:pPr>
        <w:spacing w:line="300" w:lineRule="exact"/>
        <w:jc w:val="right"/>
        <w:rPr>
          <w:rFonts w:ascii="Arial" w:hAnsi="Arial" w:cs="Arial"/>
          <w:sz w:val="20"/>
        </w:rPr>
      </w:pPr>
      <w:r>
        <w:rPr>
          <w:rFonts w:ascii="Arial" w:hAnsi="Arial" w:cs="Arial"/>
          <w:color w:val="000000"/>
          <w:sz w:val="20"/>
          <w:lang w:val="en"/>
        </w:rPr>
        <w:t>1/2022</w:t>
      </w:r>
    </w:p>
    <w:sectPr w:rsidR="00FD25F3" w:rsidRPr="004B6E18" w:rsidSect="00AD5856">
      <w:footerReference w:type="default" r:id="rId9"/>
      <w:pgSz w:w="12240" w:h="15840" w:code="1"/>
      <w:pgMar w:top="1440" w:right="1440" w:bottom="1440" w:left="1440" w:header="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E001" w14:textId="77777777" w:rsidR="00091340" w:rsidRDefault="00091340">
      <w:r>
        <w:separator/>
      </w:r>
    </w:p>
  </w:endnote>
  <w:endnote w:type="continuationSeparator" w:id="0">
    <w:p w14:paraId="2426F9FA" w14:textId="77777777" w:rsidR="00091340" w:rsidRDefault="0009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00AB" w14:textId="77777777" w:rsidR="00AD5856" w:rsidRPr="00917939" w:rsidRDefault="00AD5856" w:rsidP="00AD5856">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D047" w14:textId="77777777" w:rsidR="00091340" w:rsidRDefault="00091340">
      <w:r>
        <w:separator/>
      </w:r>
    </w:p>
  </w:footnote>
  <w:footnote w:type="continuationSeparator" w:id="0">
    <w:p w14:paraId="3BA9DCF6" w14:textId="77777777" w:rsidR="00091340" w:rsidRDefault="00091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75677"/>
    <w:multiLevelType w:val="multilevel"/>
    <w:tmpl w:val="A732B460"/>
    <w:lvl w:ilvl="0">
      <w:start w:val="1"/>
      <w:numFmt w:val="decimal"/>
      <w:lvlText w:val="%1."/>
      <w:lvlJc w:val="left"/>
      <w:pPr>
        <w:tabs>
          <w:tab w:val="num" w:pos="360"/>
        </w:tabs>
        <w:ind w:left="360" w:hanging="360"/>
      </w:pPr>
      <w:rPr>
        <w:rFonts w:ascii="Tahoma" w:hAnsi="Tahoma"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Tahoma" w:hAnsi="Tahoma"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Tahoma" w:hAnsi="Tahoma"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800"/>
        </w:tabs>
        <w:ind w:left="1440" w:hanging="360"/>
      </w:pPr>
      <w:rPr>
        <w:rFonts w:ascii="Tahoma" w:hAnsi="Tahoma"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2160"/>
        </w:tabs>
        <w:ind w:left="1800" w:hanging="360"/>
      </w:pPr>
      <w:rPr>
        <w:rFonts w:ascii="Tahoma" w:hAnsi="Tahoma"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7200094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o:colormru v:ext="edit" colors="#69f,#03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70"/>
    <w:rsid w:val="00017F4D"/>
    <w:rsid w:val="00091340"/>
    <w:rsid w:val="00094830"/>
    <w:rsid w:val="000A3F36"/>
    <w:rsid w:val="001046CE"/>
    <w:rsid w:val="00185D1D"/>
    <w:rsid w:val="002D4023"/>
    <w:rsid w:val="00461B42"/>
    <w:rsid w:val="004B6E18"/>
    <w:rsid w:val="004D74A8"/>
    <w:rsid w:val="004E4787"/>
    <w:rsid w:val="006B7AAB"/>
    <w:rsid w:val="009E3B8F"/>
    <w:rsid w:val="00A24D70"/>
    <w:rsid w:val="00A77CC3"/>
    <w:rsid w:val="00AB4F0F"/>
    <w:rsid w:val="00AD5856"/>
    <w:rsid w:val="00BD5023"/>
    <w:rsid w:val="00BF3D05"/>
    <w:rsid w:val="00C03942"/>
    <w:rsid w:val="00D67A07"/>
    <w:rsid w:val="00DB29FF"/>
    <w:rsid w:val="00EC3F0C"/>
    <w:rsid w:val="00F95BB9"/>
    <w:rsid w:val="00FD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69f,#03c"/>
    </o:shapedefaults>
    <o:shapelayout v:ext="edit">
      <o:idmap v:ext="edit" data="1"/>
    </o:shapelayout>
  </w:shapeDefaults>
  <w:decimalSymbol w:val="."/>
  <w:listSeparator w:val=","/>
  <w14:docId w14:val="1867A023"/>
  <w15:chartTrackingRefBased/>
  <w15:docId w15:val="{828454EA-C1D3-466A-9375-1EA1AA37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ahoma" w:hAnsi="Tahoma"/>
      <w:snapToGrid w:val="0"/>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 w:val="28"/>
      <w:u w:val="single"/>
    </w:rPr>
  </w:style>
  <w:style w:type="paragraph" w:styleId="Heading3">
    <w:name w:val="heading 3"/>
    <w:basedOn w:val="Normal"/>
    <w:next w:val="Normal"/>
    <w:qFormat/>
    <w:pPr>
      <w:keepNext/>
      <w:jc w:val="right"/>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style>
  <w:style w:type="paragraph" w:customStyle="1" w:styleId="DefinitionList">
    <w:name w:val="Definition List"/>
    <w:basedOn w:val="Normal"/>
    <w:next w:val="DefinitionTerm"/>
    <w:pPr>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spacing w:after="120"/>
      <w:outlineLvl w:val="3"/>
    </w:pPr>
    <w:rPr>
      <w:b/>
      <w:color w:val="008080"/>
      <w:sz w:val="28"/>
      <w:u w:val="single"/>
    </w:rPr>
  </w:style>
  <w:style w:type="paragraph" w:customStyle="1" w:styleId="H4">
    <w:name w:val="H4"/>
    <w:basedOn w:val="Normal"/>
    <w:next w:val="Normal"/>
    <w:rPr>
      <w:rFonts w:cs="Tahoma"/>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widowControl/>
    </w:pPr>
    <w:rPr>
      <w:b/>
      <w:bCs/>
      <w:snapToGrid/>
      <w:szCs w:val="24"/>
    </w:rPr>
  </w:style>
  <w:style w:type="paragraph" w:styleId="DocumentMap">
    <w:name w:val="Document Map"/>
    <w:basedOn w:val="Normal"/>
    <w:semiHidden/>
    <w:pPr>
      <w:shd w:val="clear" w:color="auto" w:fill="000080"/>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pPr>
      <w:widowControl/>
    </w:pPr>
    <w:rPr>
      <w:rFonts w:ascii="Times New Roman" w:hAnsi="Times New Roman"/>
      <w:snapToGrid/>
      <w:sz w:val="22"/>
    </w:rPr>
  </w:style>
  <w:style w:type="paragraph" w:styleId="BodyTextIndent">
    <w:name w:val="Body Text Indent"/>
    <w:basedOn w:val="Normal"/>
    <w:pPr>
      <w:widowControl/>
      <w:ind w:left="720"/>
    </w:pPr>
    <w:rPr>
      <w:rFonts w:ascii="Times New Roman" w:hAnsi="Times New Roman"/>
      <w:snapToGrid/>
      <w:color w:val="000000"/>
      <w:sz w:val="28"/>
      <w:lang w:val="en"/>
    </w:rPr>
  </w:style>
  <w:style w:type="paragraph" w:styleId="BodyTextIndent2">
    <w:name w:val="Body Text Indent 2"/>
    <w:basedOn w:val="Normal"/>
    <w:pPr>
      <w:ind w:left="720"/>
    </w:pPr>
  </w:style>
  <w:style w:type="paragraph" w:styleId="BalloonText">
    <w:name w:val="Balloon Text"/>
    <w:basedOn w:val="Normal"/>
    <w:semiHidden/>
    <w:rsid w:val="00A24D70"/>
    <w:rPr>
      <w:rFonts w:cs="Tahoma"/>
      <w:sz w:val="16"/>
      <w:szCs w:val="16"/>
    </w:rPr>
  </w:style>
  <w:style w:type="paragraph" w:customStyle="1" w:styleId="paranormal">
    <w:name w:val="para_normal"/>
    <w:basedOn w:val="Normal"/>
    <w:rsid w:val="00BF3D05"/>
    <w:pPr>
      <w:widowControl/>
    </w:pPr>
    <w:rPr>
      <w:rFonts w:ascii="Times New Roman" w:hAnsi="Times New Roman"/>
      <w:snapToGrid/>
      <w:szCs w:val="24"/>
    </w:rPr>
  </w:style>
  <w:style w:type="character" w:customStyle="1" w:styleId="FooterChar">
    <w:name w:val="Footer Char"/>
    <w:link w:val="Footer"/>
    <w:uiPriority w:val="99"/>
    <w:rsid w:val="00461B42"/>
    <w:rPr>
      <w:rFonts w:ascii="Tahoma" w:hAnsi="Tahoma"/>
      <w:snapToGrid w:val="0"/>
      <w:sz w:val="24"/>
    </w:rPr>
  </w:style>
  <w:style w:type="paragraph" w:styleId="Title">
    <w:name w:val="Title"/>
    <w:basedOn w:val="Normal"/>
    <w:link w:val="TitleChar"/>
    <w:qFormat/>
    <w:rsid w:val="000A3F36"/>
    <w:pPr>
      <w:widowControl/>
      <w:jc w:val="center"/>
    </w:pPr>
    <w:rPr>
      <w:rFonts w:ascii="Times New Roman" w:hAnsi="Times New Roman"/>
      <w:b/>
      <w:snapToGrid/>
    </w:rPr>
  </w:style>
  <w:style w:type="character" w:customStyle="1" w:styleId="TitleChar">
    <w:name w:val="Title Char"/>
    <w:link w:val="Title"/>
    <w:rsid w:val="000A3F36"/>
    <w:rPr>
      <w:b/>
      <w:sz w:val="24"/>
    </w:rPr>
  </w:style>
  <w:style w:type="character" w:customStyle="1" w:styleId="HeaderChar">
    <w:name w:val="Header Char"/>
    <w:link w:val="Header"/>
    <w:rsid w:val="00AD5856"/>
    <w:rPr>
      <w:rFonts w:ascii="Tahoma" w:hAnsi="Tahom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AS%20POLICIES\!%20Templates\1-2%20policytemplate_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A3083-A1FF-4CB7-9D34-1340BAEA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policytemplate_5</Template>
  <TotalTime>0</TotalTime>
  <Pages>1</Pages>
  <Words>258</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DHS Policy Template</vt:lpstr>
    </vt:vector>
  </TitlesOfParts>
  <Company>DHS</Company>
  <LinksUpToDate>false</LinksUpToDate>
  <CharactersWithSpaces>1792</CharactersWithSpaces>
  <SharedDoc>false</SharedDoc>
  <HLinks>
    <vt:vector size="6" baseType="variant">
      <vt:variant>
        <vt:i4>6488115</vt:i4>
      </vt:variant>
      <vt:variant>
        <vt:i4>0</vt:i4>
      </vt:variant>
      <vt:variant>
        <vt:i4>0</vt:i4>
      </vt:variant>
      <vt:variant>
        <vt:i4>5</vt:i4>
      </vt:variant>
      <vt:variant>
        <vt:lpwstr>\\SHSB2-NS3\DATA\SHARED\AMH-SHARED\STAFF\Documents and Settings\Documents and Settings\JMAROTTA\Local Settings\Temp\AELMOREJ\Local Settings\Temp\GWViewer\1-2c Policy Template Instructions.doc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Policy Template</dc:title>
  <dc:subject/>
  <dc:creator>P. Rouske</dc:creator>
  <cp:keywords/>
  <dc:description/>
  <cp:lastModifiedBy>Caitlin Egeck</cp:lastModifiedBy>
  <cp:revision>3</cp:revision>
  <cp:lastPrinted>2006-06-22T16:19:00Z</cp:lastPrinted>
  <dcterms:created xsi:type="dcterms:W3CDTF">2022-01-20T17:13:00Z</dcterms:created>
  <dcterms:modified xsi:type="dcterms:W3CDTF">2024-11-20T08:20:00Z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