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B970C" w14:textId="77777777" w:rsidR="00B06835" w:rsidRDefault="00B06835" w:rsidP="00B06835">
      <w:pPr>
        <w:rPr>
          <w:b/>
          <w:color w:val="000000"/>
          <w:sz w:val="40"/>
          <w:szCs w:val="40"/>
        </w:rPr>
      </w:pPr>
      <w:r>
        <w:rPr>
          <w:noProof/>
        </w:rPr>
        <w:drawing>
          <wp:anchor distT="0" distB="0" distL="114300" distR="114300" simplePos="0" relativeHeight="251659264" behindDoc="0" locked="0" layoutInCell="1" allowOverlap="1" wp14:anchorId="3EA67102" wp14:editId="124A2063">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763E665F" w14:textId="77777777" w:rsidR="00B06835" w:rsidRPr="00B06835" w:rsidRDefault="00B06835" w:rsidP="00B06835">
      <w:pPr>
        <w:pStyle w:val="Header"/>
        <w:pBdr>
          <w:top w:val="single" w:sz="4" w:space="1" w:color="auto"/>
          <w:left w:val="single" w:sz="4" w:space="4" w:color="auto"/>
          <w:bottom w:val="single" w:sz="4" w:space="1" w:color="auto"/>
          <w:right w:val="single" w:sz="4" w:space="4" w:color="auto"/>
        </w:pBdr>
        <w:tabs>
          <w:tab w:val="clear" w:pos="4320"/>
          <w:tab w:val="clear" w:pos="8640"/>
        </w:tabs>
        <w:rPr>
          <w:rFonts w:cs="Arial"/>
          <w:caps w:val="0"/>
          <w:spacing w:val="0"/>
          <w:sz w:val="24"/>
          <w:szCs w:val="24"/>
          <w:u w:val="single"/>
        </w:rPr>
      </w:pPr>
      <w:r w:rsidRPr="00B06835">
        <w:rPr>
          <w:rFonts w:cs="Arial"/>
          <w:caps w:val="0"/>
          <w:spacing w:val="0"/>
          <w:sz w:val="24"/>
          <w:szCs w:val="24"/>
          <w:u w:val="single"/>
        </w:rPr>
        <w:t>Sample Policy Language</w:t>
      </w:r>
    </w:p>
    <w:p w14:paraId="52EA417F" w14:textId="77777777" w:rsidR="00B06835" w:rsidRPr="00B06835" w:rsidRDefault="00B06835" w:rsidP="00B06835">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cs="Arial"/>
          <w:b w:val="0"/>
          <w:caps w:val="0"/>
          <w:spacing w:val="0"/>
          <w:sz w:val="24"/>
          <w:szCs w:val="24"/>
        </w:rPr>
      </w:pPr>
      <w:r w:rsidRPr="00B06835">
        <w:rPr>
          <w:rFonts w:cs="Arial"/>
          <w:b w:val="0"/>
          <w:caps w:val="0"/>
          <w:spacing w:val="0"/>
          <w:sz w:val="24"/>
          <w:szCs w:val="24"/>
        </w:rPr>
        <w:t>This is a sample policy.  Prior to implementation, it should be amended to reflect your organization’s practices and legal obligations.</w:t>
      </w:r>
    </w:p>
    <w:p w14:paraId="7FDF900E" w14:textId="77777777" w:rsidR="00B06835" w:rsidRPr="00F72435" w:rsidRDefault="00B06835" w:rsidP="00B06835">
      <w:pPr>
        <w:rPr>
          <w:b/>
          <w:color w:val="000000"/>
          <w:sz w:val="40"/>
          <w:szCs w:val="40"/>
        </w:rPr>
      </w:pPr>
    </w:p>
    <w:p w14:paraId="560540AA" w14:textId="77777777" w:rsidR="007226B1" w:rsidRPr="00DD510A" w:rsidRDefault="007226B1" w:rsidP="001F1A82">
      <w:pPr>
        <w:pStyle w:val="BodyText"/>
        <w:tabs>
          <w:tab w:val="left" w:pos="0"/>
        </w:tabs>
        <w:spacing w:after="0"/>
        <w:ind w:left="0" w:right="-720"/>
        <w:rPr>
          <w:rFonts w:cs="Arial"/>
          <w:sz w:val="40"/>
          <w:szCs w:val="40"/>
        </w:rPr>
      </w:pPr>
      <w:r w:rsidRPr="00DD510A">
        <w:rPr>
          <w:rFonts w:cs="Arial"/>
          <w:sz w:val="40"/>
          <w:szCs w:val="40"/>
        </w:rPr>
        <w:t>Sample Severance Policy</w:t>
      </w:r>
      <w:r w:rsidRPr="00DD510A">
        <w:rPr>
          <w:rFonts w:cs="Arial"/>
          <w:sz w:val="40"/>
          <w:szCs w:val="40"/>
        </w:rPr>
        <w:tab/>
        <w:t xml:space="preserve">        </w:t>
      </w:r>
    </w:p>
    <w:p w14:paraId="228EA595" w14:textId="77777777" w:rsidR="007226B1" w:rsidRPr="00DD510A" w:rsidRDefault="007226B1" w:rsidP="001F1A82">
      <w:pPr>
        <w:pStyle w:val="BodyText"/>
        <w:tabs>
          <w:tab w:val="left" w:pos="0"/>
        </w:tabs>
        <w:spacing w:after="0" w:line="300" w:lineRule="exact"/>
        <w:ind w:left="0" w:right="-720"/>
        <w:rPr>
          <w:rFonts w:cs="Arial"/>
          <w:sz w:val="24"/>
          <w:szCs w:val="24"/>
          <w:u w:val="single"/>
        </w:rPr>
      </w:pPr>
    </w:p>
    <w:p w14:paraId="55730737" w14:textId="60B35750" w:rsidR="007226B1" w:rsidRPr="00B06835" w:rsidRDefault="007226B1" w:rsidP="00B06835">
      <w:pPr>
        <w:pStyle w:val="BodyText"/>
        <w:tabs>
          <w:tab w:val="left" w:pos="0"/>
        </w:tabs>
        <w:spacing w:after="0" w:line="300" w:lineRule="exact"/>
        <w:ind w:left="0"/>
        <w:rPr>
          <w:rFonts w:cs="Arial"/>
          <w:b/>
          <w:szCs w:val="22"/>
          <w:u w:val="single"/>
        </w:rPr>
      </w:pPr>
      <w:r w:rsidRPr="00B06835">
        <w:rPr>
          <w:rFonts w:cs="Arial"/>
          <w:b/>
          <w:szCs w:val="22"/>
          <w:u w:val="single"/>
        </w:rPr>
        <w:t>S</w:t>
      </w:r>
      <w:r w:rsidR="00B06835" w:rsidRPr="00B06835">
        <w:rPr>
          <w:rFonts w:cs="Arial"/>
          <w:b/>
          <w:szCs w:val="22"/>
          <w:u w:val="single"/>
        </w:rPr>
        <w:t>cope</w:t>
      </w:r>
    </w:p>
    <w:p w14:paraId="38E8AAC3" w14:textId="00260FC5" w:rsidR="007226B1" w:rsidRPr="00B06835" w:rsidRDefault="007226B1" w:rsidP="00B06835">
      <w:pPr>
        <w:pStyle w:val="BodyText"/>
        <w:tabs>
          <w:tab w:val="left" w:pos="0"/>
        </w:tabs>
        <w:spacing w:after="0" w:line="300" w:lineRule="exact"/>
        <w:ind w:left="0"/>
        <w:rPr>
          <w:rFonts w:cs="Arial"/>
          <w:szCs w:val="22"/>
        </w:rPr>
      </w:pPr>
      <w:r w:rsidRPr="00B06835">
        <w:rPr>
          <w:rFonts w:cs="Arial"/>
          <w:szCs w:val="22"/>
        </w:rPr>
        <w:t xml:space="preserve">This policy is applicable and extends coverage to all regular full-time </w:t>
      </w:r>
      <w:r w:rsidR="005C2EA4" w:rsidRPr="00B06835">
        <w:rPr>
          <w:rFonts w:cs="Arial"/>
          <w:szCs w:val="22"/>
        </w:rPr>
        <w:t>employees.</w:t>
      </w:r>
    </w:p>
    <w:p w14:paraId="50EBD640" w14:textId="77777777" w:rsidR="007226B1" w:rsidRPr="00B06835" w:rsidRDefault="007226B1" w:rsidP="00B06835">
      <w:pPr>
        <w:pStyle w:val="BodyText"/>
        <w:tabs>
          <w:tab w:val="left" w:pos="0"/>
        </w:tabs>
        <w:spacing w:after="0" w:line="300" w:lineRule="exact"/>
        <w:ind w:left="0"/>
        <w:rPr>
          <w:rFonts w:cs="Arial"/>
          <w:szCs w:val="22"/>
        </w:rPr>
      </w:pPr>
    </w:p>
    <w:p w14:paraId="0287462C" w14:textId="6C7FFE5C" w:rsidR="007226B1" w:rsidRPr="00B06835" w:rsidRDefault="007226B1" w:rsidP="00B06835">
      <w:pPr>
        <w:pStyle w:val="BodyText"/>
        <w:tabs>
          <w:tab w:val="left" w:pos="0"/>
        </w:tabs>
        <w:spacing w:after="0" w:line="300" w:lineRule="exact"/>
        <w:ind w:left="0"/>
        <w:rPr>
          <w:rFonts w:cs="Arial"/>
          <w:b/>
          <w:szCs w:val="22"/>
          <w:u w:val="single"/>
        </w:rPr>
      </w:pPr>
      <w:r w:rsidRPr="00B06835">
        <w:rPr>
          <w:rFonts w:cs="Arial"/>
          <w:b/>
          <w:szCs w:val="22"/>
          <w:u w:val="single"/>
        </w:rPr>
        <w:t>P</w:t>
      </w:r>
      <w:r w:rsidR="00B06835">
        <w:rPr>
          <w:rFonts w:cs="Arial"/>
          <w:b/>
          <w:szCs w:val="22"/>
          <w:u w:val="single"/>
        </w:rPr>
        <w:t>olicy</w:t>
      </w:r>
    </w:p>
    <w:p w14:paraId="1A9BAF33" w14:textId="43332873" w:rsidR="007226B1" w:rsidRPr="00B06835" w:rsidRDefault="007226B1" w:rsidP="00B06835">
      <w:pPr>
        <w:pStyle w:val="BodyText"/>
        <w:tabs>
          <w:tab w:val="left" w:pos="0"/>
        </w:tabs>
        <w:spacing w:after="0" w:line="300" w:lineRule="exact"/>
        <w:ind w:left="0"/>
        <w:rPr>
          <w:rFonts w:cs="Arial"/>
          <w:szCs w:val="22"/>
        </w:rPr>
      </w:pPr>
      <w:r w:rsidRPr="00B06835">
        <w:rPr>
          <w:rFonts w:cs="Arial"/>
          <w:szCs w:val="22"/>
        </w:rPr>
        <w:t xml:space="preserve">It is the policy of </w:t>
      </w:r>
      <w:r w:rsidR="00DF147A" w:rsidRPr="00B06835">
        <w:rPr>
          <w:rFonts w:cs="Arial"/>
          <w:szCs w:val="22"/>
        </w:rPr>
        <w:t>t</w:t>
      </w:r>
      <w:r w:rsidR="005C2EA4" w:rsidRPr="00B06835">
        <w:rPr>
          <w:rFonts w:cs="Arial"/>
          <w:szCs w:val="22"/>
        </w:rPr>
        <w:t>he Company</w:t>
      </w:r>
      <w:r w:rsidRPr="00B06835">
        <w:rPr>
          <w:rFonts w:cs="Arial"/>
          <w:szCs w:val="22"/>
        </w:rPr>
        <w:t xml:space="preserve"> to extend a program of severance compensation and benefits to employees whose employment is involuntarily terminated for reasons other tha</w:t>
      </w:r>
      <w:r w:rsidR="00DD510A" w:rsidRPr="00B06835">
        <w:rPr>
          <w:rFonts w:cs="Arial"/>
          <w:szCs w:val="22"/>
        </w:rPr>
        <w:t>n</w:t>
      </w:r>
      <w:r w:rsidRPr="00B06835">
        <w:rPr>
          <w:rFonts w:cs="Arial"/>
          <w:szCs w:val="22"/>
        </w:rPr>
        <w:t xml:space="preserve"> misconduct.</w:t>
      </w:r>
    </w:p>
    <w:p w14:paraId="619CE742" w14:textId="77777777" w:rsidR="007226B1" w:rsidRPr="00B06835" w:rsidRDefault="007226B1" w:rsidP="00B06835">
      <w:pPr>
        <w:pStyle w:val="BodyText"/>
        <w:tabs>
          <w:tab w:val="left" w:pos="0"/>
        </w:tabs>
        <w:spacing w:after="0" w:line="300" w:lineRule="exact"/>
        <w:ind w:left="0"/>
        <w:rPr>
          <w:rFonts w:cs="Arial"/>
          <w:szCs w:val="22"/>
        </w:rPr>
      </w:pPr>
    </w:p>
    <w:p w14:paraId="5B60B481" w14:textId="2A8CA90D" w:rsidR="007226B1" w:rsidRPr="00B06835" w:rsidRDefault="007226B1" w:rsidP="00B06835">
      <w:pPr>
        <w:pStyle w:val="BodyText"/>
        <w:tabs>
          <w:tab w:val="left" w:pos="0"/>
        </w:tabs>
        <w:spacing w:after="0" w:line="300" w:lineRule="exact"/>
        <w:ind w:left="0"/>
        <w:rPr>
          <w:rFonts w:cs="Arial"/>
          <w:szCs w:val="22"/>
        </w:rPr>
      </w:pPr>
      <w:r w:rsidRPr="00B06835">
        <w:rPr>
          <w:rFonts w:cs="Arial"/>
          <w:szCs w:val="22"/>
        </w:rPr>
        <w:t>Severance pay as established by this Policy does not apply to temporary furloughs, retirements, disabilities, voluntary work stoppages, work interruptions caused by acts of God, misconduct and resignations not sought b</w:t>
      </w:r>
      <w:bookmarkStart w:id="0" w:name="_GoBack"/>
      <w:bookmarkEnd w:id="0"/>
      <w:r w:rsidRPr="00B06835">
        <w:rPr>
          <w:rFonts w:cs="Arial"/>
          <w:szCs w:val="22"/>
        </w:rPr>
        <w:t xml:space="preserve">y </w:t>
      </w:r>
      <w:r w:rsidR="00DF147A" w:rsidRPr="00B06835">
        <w:rPr>
          <w:rFonts w:cs="Arial"/>
          <w:szCs w:val="22"/>
        </w:rPr>
        <w:t>t</w:t>
      </w:r>
      <w:r w:rsidR="005C2EA4" w:rsidRPr="00B06835">
        <w:rPr>
          <w:rFonts w:cs="Arial"/>
          <w:szCs w:val="22"/>
        </w:rPr>
        <w:t>he Company</w:t>
      </w:r>
      <w:r w:rsidRPr="00B06835">
        <w:rPr>
          <w:rFonts w:cs="Arial"/>
          <w:szCs w:val="22"/>
        </w:rPr>
        <w:t xml:space="preserve"> </w:t>
      </w:r>
      <w:r w:rsidR="00DD510A" w:rsidRPr="00B06835">
        <w:rPr>
          <w:rFonts w:cs="Arial"/>
          <w:szCs w:val="22"/>
        </w:rPr>
        <w:t xml:space="preserve">or </w:t>
      </w:r>
      <w:r w:rsidRPr="00B06835">
        <w:rPr>
          <w:rFonts w:cs="Arial"/>
          <w:szCs w:val="22"/>
        </w:rPr>
        <w:t xml:space="preserve">for other reasons not addressed specifically in this policy.  In the event of a total shut down of the plant, departments, or sub-units thereof, </w:t>
      </w:r>
      <w:r w:rsidR="000752C6" w:rsidRPr="00B06835">
        <w:rPr>
          <w:rFonts w:cs="Arial"/>
          <w:szCs w:val="22"/>
        </w:rPr>
        <w:t>Senior Management will determine the applicability of severance benefits</w:t>
      </w:r>
      <w:r w:rsidRPr="00B06835">
        <w:rPr>
          <w:rFonts w:cs="Arial"/>
          <w:szCs w:val="22"/>
        </w:rPr>
        <w:t xml:space="preserve">.  </w:t>
      </w:r>
      <w:r w:rsidR="000752C6" w:rsidRPr="00B06835">
        <w:rPr>
          <w:rFonts w:cs="Arial"/>
          <w:szCs w:val="22"/>
        </w:rPr>
        <w:t>The Board of Directors will determine severance pay for elected company officers or board members</w:t>
      </w:r>
      <w:r w:rsidRPr="00B06835">
        <w:rPr>
          <w:rFonts w:cs="Arial"/>
          <w:szCs w:val="22"/>
        </w:rPr>
        <w:t>.</w:t>
      </w:r>
    </w:p>
    <w:p w14:paraId="27F9976D" w14:textId="77777777" w:rsidR="007226B1" w:rsidRPr="00B06835" w:rsidRDefault="007226B1" w:rsidP="00B06835">
      <w:pPr>
        <w:pStyle w:val="BodyText"/>
        <w:tabs>
          <w:tab w:val="left" w:pos="0"/>
        </w:tabs>
        <w:spacing w:after="0" w:line="300" w:lineRule="exact"/>
        <w:ind w:left="0"/>
        <w:rPr>
          <w:rFonts w:cs="Arial"/>
          <w:szCs w:val="22"/>
        </w:rPr>
      </w:pPr>
    </w:p>
    <w:p w14:paraId="2D32ECEB" w14:textId="475C35AD" w:rsidR="007226B1" w:rsidRPr="00B06835" w:rsidRDefault="007226B1" w:rsidP="00B06835">
      <w:pPr>
        <w:pStyle w:val="BodyText"/>
        <w:tabs>
          <w:tab w:val="left" w:pos="0"/>
        </w:tabs>
        <w:spacing w:after="0" w:line="300" w:lineRule="exact"/>
        <w:ind w:left="0"/>
        <w:rPr>
          <w:rFonts w:cs="Arial"/>
          <w:b/>
          <w:szCs w:val="22"/>
          <w:u w:val="single"/>
        </w:rPr>
      </w:pPr>
      <w:r w:rsidRPr="00B06835">
        <w:rPr>
          <w:rFonts w:cs="Arial"/>
          <w:b/>
          <w:szCs w:val="22"/>
          <w:u w:val="single"/>
        </w:rPr>
        <w:t>P</w:t>
      </w:r>
      <w:r w:rsidR="00B06835" w:rsidRPr="00B06835">
        <w:rPr>
          <w:rFonts w:cs="Arial"/>
          <w:b/>
          <w:szCs w:val="22"/>
          <w:u w:val="single"/>
        </w:rPr>
        <w:t>rovisions</w:t>
      </w:r>
    </w:p>
    <w:p w14:paraId="15B7AF51" w14:textId="77777777" w:rsidR="007226B1" w:rsidRPr="00B06835" w:rsidRDefault="007226B1" w:rsidP="00B06835">
      <w:pPr>
        <w:pStyle w:val="BodyText"/>
        <w:numPr>
          <w:ilvl w:val="0"/>
          <w:numId w:val="31"/>
        </w:numPr>
        <w:tabs>
          <w:tab w:val="left" w:pos="0"/>
        </w:tabs>
        <w:spacing w:after="0" w:line="300" w:lineRule="exact"/>
        <w:ind w:left="360"/>
        <w:rPr>
          <w:rFonts w:cs="Arial"/>
          <w:szCs w:val="22"/>
        </w:rPr>
      </w:pPr>
      <w:r w:rsidRPr="00B06835">
        <w:rPr>
          <w:rFonts w:cs="Arial"/>
          <w:szCs w:val="22"/>
        </w:rPr>
        <w:t>Severance Compensation</w:t>
      </w:r>
    </w:p>
    <w:p w14:paraId="42CD75E4" w14:textId="77777777" w:rsidR="007226B1" w:rsidRPr="00B06835" w:rsidRDefault="007226B1" w:rsidP="00B06835">
      <w:pPr>
        <w:pStyle w:val="BodyText"/>
        <w:tabs>
          <w:tab w:val="left" w:pos="0"/>
        </w:tabs>
        <w:spacing w:after="0" w:line="300" w:lineRule="exact"/>
        <w:ind w:left="0"/>
        <w:rPr>
          <w:rFonts w:cs="Arial"/>
          <w:szCs w:val="22"/>
        </w:rPr>
      </w:pPr>
    </w:p>
    <w:p w14:paraId="5F307FE5" w14:textId="713E2DF6" w:rsidR="007226B1" w:rsidRPr="00B06835" w:rsidRDefault="007226B1" w:rsidP="00B06835">
      <w:pPr>
        <w:pStyle w:val="BodyText"/>
        <w:numPr>
          <w:ilvl w:val="0"/>
          <w:numId w:val="33"/>
        </w:numPr>
        <w:tabs>
          <w:tab w:val="left" w:pos="450"/>
        </w:tabs>
        <w:spacing w:after="0" w:line="300" w:lineRule="exact"/>
        <w:rPr>
          <w:rFonts w:cs="Arial"/>
          <w:szCs w:val="22"/>
        </w:rPr>
      </w:pPr>
      <w:r w:rsidRPr="00B06835">
        <w:rPr>
          <w:rFonts w:cs="Arial"/>
          <w:szCs w:val="22"/>
        </w:rPr>
        <w:t xml:space="preserve">Eligibility is determined according to Table 1, based on years of service and management level </w:t>
      </w:r>
      <w:r w:rsidR="000752C6" w:rsidRPr="00B06835">
        <w:rPr>
          <w:rFonts w:cs="Arial"/>
          <w:szCs w:val="22"/>
        </w:rPr>
        <w:t xml:space="preserve">as </w:t>
      </w:r>
      <w:r w:rsidRPr="00B06835">
        <w:rPr>
          <w:rFonts w:cs="Arial"/>
          <w:szCs w:val="22"/>
        </w:rPr>
        <w:t xml:space="preserve">determined by Senior Management, provided the employee agrees to sign a release prepared by </w:t>
      </w:r>
      <w:r w:rsidR="00DF147A" w:rsidRPr="00B06835">
        <w:rPr>
          <w:rFonts w:cs="Arial"/>
          <w:szCs w:val="22"/>
        </w:rPr>
        <w:t>t</w:t>
      </w:r>
      <w:r w:rsidR="005C2EA4" w:rsidRPr="00B06835">
        <w:rPr>
          <w:rFonts w:cs="Arial"/>
          <w:szCs w:val="22"/>
        </w:rPr>
        <w:t>he Company</w:t>
      </w:r>
      <w:r w:rsidR="000752C6" w:rsidRPr="00B06835">
        <w:rPr>
          <w:rFonts w:cs="Arial"/>
          <w:szCs w:val="22"/>
        </w:rPr>
        <w:t>.</w:t>
      </w:r>
    </w:p>
    <w:p w14:paraId="62A76CC0" w14:textId="77777777" w:rsidR="00DD510A" w:rsidRPr="00B06835" w:rsidRDefault="00DD510A" w:rsidP="00B06835">
      <w:pPr>
        <w:pStyle w:val="BodyText"/>
        <w:tabs>
          <w:tab w:val="left" w:pos="450"/>
        </w:tabs>
        <w:spacing w:after="0" w:line="300" w:lineRule="exact"/>
        <w:rPr>
          <w:rFonts w:cs="Arial"/>
          <w:szCs w:val="22"/>
        </w:rPr>
      </w:pPr>
    </w:p>
    <w:tbl>
      <w:tblPr>
        <w:tblpPr w:leftFromText="180" w:rightFromText="180" w:vertAnchor="text" w:horzAnchor="margin" w:tblpY="440"/>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624"/>
        <w:gridCol w:w="1624"/>
        <w:gridCol w:w="1624"/>
        <w:gridCol w:w="1625"/>
      </w:tblGrid>
      <w:tr w:rsidR="00DD510A" w:rsidRPr="00B06835" w14:paraId="2ADC6483" w14:textId="77777777" w:rsidTr="005164E0">
        <w:trPr>
          <w:cantSplit/>
          <w:trHeight w:val="953"/>
        </w:trPr>
        <w:tc>
          <w:tcPr>
            <w:tcW w:w="2358" w:type="dxa"/>
            <w:tcBorders>
              <w:top w:val="single" w:sz="4" w:space="0" w:color="auto"/>
              <w:left w:val="single" w:sz="4" w:space="0" w:color="auto"/>
            </w:tcBorders>
          </w:tcPr>
          <w:p w14:paraId="4C03E58E" w14:textId="77777777" w:rsidR="00DD510A" w:rsidRPr="00B06835" w:rsidRDefault="00DD510A" w:rsidP="00B06835">
            <w:pPr>
              <w:pStyle w:val="BodyText"/>
              <w:spacing w:after="0" w:line="300" w:lineRule="exact"/>
              <w:ind w:left="0"/>
              <w:rPr>
                <w:rFonts w:cs="Arial"/>
                <w:szCs w:val="22"/>
              </w:rPr>
            </w:pPr>
          </w:p>
          <w:p w14:paraId="4C8A5054" w14:textId="77777777" w:rsidR="00DD510A" w:rsidRPr="00B06835" w:rsidRDefault="00DD510A" w:rsidP="00B06835">
            <w:pPr>
              <w:pStyle w:val="BodyText"/>
              <w:spacing w:after="0" w:line="300" w:lineRule="exact"/>
              <w:ind w:left="0"/>
              <w:rPr>
                <w:rFonts w:cs="Arial"/>
                <w:szCs w:val="22"/>
              </w:rPr>
            </w:pPr>
          </w:p>
          <w:p w14:paraId="713874E3" w14:textId="3FA4D6D6" w:rsidR="00DD510A" w:rsidRPr="00B06835" w:rsidRDefault="00DD510A" w:rsidP="00B06835">
            <w:pPr>
              <w:pStyle w:val="BodyText"/>
              <w:spacing w:after="0" w:line="300" w:lineRule="exact"/>
              <w:ind w:left="0"/>
              <w:rPr>
                <w:rFonts w:cs="Arial"/>
                <w:szCs w:val="22"/>
              </w:rPr>
            </w:pPr>
          </w:p>
        </w:tc>
        <w:tc>
          <w:tcPr>
            <w:tcW w:w="1624" w:type="dxa"/>
            <w:shd w:val="pct12" w:color="auto" w:fill="FFFFFF"/>
          </w:tcPr>
          <w:p w14:paraId="1DE92885" w14:textId="77777777" w:rsidR="00DD510A" w:rsidRPr="00B06835" w:rsidRDefault="00DD510A" w:rsidP="00B06835">
            <w:pPr>
              <w:pStyle w:val="BodyText"/>
              <w:spacing w:after="0" w:line="300" w:lineRule="exact"/>
              <w:ind w:left="0"/>
              <w:rPr>
                <w:rFonts w:cs="Arial"/>
                <w:szCs w:val="22"/>
              </w:rPr>
            </w:pPr>
            <w:r w:rsidRPr="00B06835">
              <w:rPr>
                <w:rFonts w:cs="Arial"/>
                <w:szCs w:val="22"/>
              </w:rPr>
              <w:t>Less Than</w:t>
            </w:r>
          </w:p>
          <w:p w14:paraId="14C43A21" w14:textId="77777777" w:rsidR="00DD510A" w:rsidRPr="00B06835" w:rsidRDefault="00DD510A" w:rsidP="00B06835">
            <w:pPr>
              <w:pStyle w:val="BodyText"/>
              <w:spacing w:after="0" w:line="300" w:lineRule="exact"/>
              <w:ind w:left="0"/>
              <w:rPr>
                <w:rFonts w:cs="Arial"/>
                <w:szCs w:val="22"/>
              </w:rPr>
            </w:pPr>
            <w:r w:rsidRPr="00B06835">
              <w:rPr>
                <w:rFonts w:cs="Arial"/>
                <w:szCs w:val="22"/>
              </w:rPr>
              <w:t>1 Year</w:t>
            </w:r>
          </w:p>
        </w:tc>
        <w:tc>
          <w:tcPr>
            <w:tcW w:w="1624" w:type="dxa"/>
            <w:shd w:val="pct12" w:color="auto" w:fill="FFFFFF"/>
          </w:tcPr>
          <w:p w14:paraId="46F6C63A" w14:textId="77777777" w:rsidR="00DD510A" w:rsidRPr="00B06835" w:rsidRDefault="00DD510A" w:rsidP="00B06835">
            <w:pPr>
              <w:pStyle w:val="BodyText"/>
              <w:spacing w:after="0" w:line="300" w:lineRule="exact"/>
              <w:ind w:left="0"/>
              <w:rPr>
                <w:rFonts w:cs="Arial"/>
                <w:szCs w:val="22"/>
              </w:rPr>
            </w:pPr>
            <w:r w:rsidRPr="00B06835">
              <w:rPr>
                <w:rFonts w:cs="Arial"/>
                <w:szCs w:val="22"/>
              </w:rPr>
              <w:t>Greater Than</w:t>
            </w:r>
          </w:p>
          <w:p w14:paraId="041F686E" w14:textId="77777777" w:rsidR="00DD510A" w:rsidRPr="00B06835" w:rsidRDefault="00DD510A" w:rsidP="00B06835">
            <w:pPr>
              <w:pStyle w:val="BodyText"/>
              <w:spacing w:after="0" w:line="300" w:lineRule="exact"/>
              <w:ind w:left="0"/>
              <w:rPr>
                <w:rFonts w:cs="Arial"/>
                <w:szCs w:val="22"/>
              </w:rPr>
            </w:pPr>
            <w:r w:rsidRPr="00B06835">
              <w:rPr>
                <w:rFonts w:cs="Arial"/>
                <w:szCs w:val="22"/>
              </w:rPr>
              <w:t xml:space="preserve">1 Year but </w:t>
            </w:r>
          </w:p>
          <w:p w14:paraId="43F5F0C5" w14:textId="77777777" w:rsidR="00DD510A" w:rsidRPr="00B06835" w:rsidRDefault="00DD510A" w:rsidP="00B06835">
            <w:pPr>
              <w:pStyle w:val="BodyText"/>
              <w:spacing w:after="0" w:line="300" w:lineRule="exact"/>
              <w:ind w:left="0"/>
              <w:rPr>
                <w:rFonts w:cs="Arial"/>
                <w:szCs w:val="22"/>
              </w:rPr>
            </w:pPr>
            <w:r w:rsidRPr="00B06835">
              <w:rPr>
                <w:rFonts w:cs="Arial"/>
                <w:szCs w:val="22"/>
              </w:rPr>
              <w:t>Less Than 3</w:t>
            </w:r>
          </w:p>
        </w:tc>
        <w:tc>
          <w:tcPr>
            <w:tcW w:w="1624" w:type="dxa"/>
            <w:shd w:val="pct12" w:color="auto" w:fill="FFFFFF"/>
          </w:tcPr>
          <w:p w14:paraId="4D2280DE" w14:textId="77777777" w:rsidR="00DD510A" w:rsidRPr="00B06835" w:rsidRDefault="00DD510A" w:rsidP="00B06835">
            <w:pPr>
              <w:pStyle w:val="BodyText"/>
              <w:spacing w:after="0" w:line="300" w:lineRule="exact"/>
              <w:ind w:left="0"/>
              <w:rPr>
                <w:rFonts w:cs="Arial"/>
                <w:szCs w:val="22"/>
              </w:rPr>
            </w:pPr>
            <w:r w:rsidRPr="00B06835">
              <w:rPr>
                <w:rFonts w:cs="Arial"/>
                <w:szCs w:val="22"/>
              </w:rPr>
              <w:t>Greater Than</w:t>
            </w:r>
          </w:p>
          <w:p w14:paraId="3FB6B38B" w14:textId="77777777" w:rsidR="00DD510A" w:rsidRPr="00B06835" w:rsidRDefault="00DD510A" w:rsidP="00B06835">
            <w:pPr>
              <w:pStyle w:val="BodyText"/>
              <w:spacing w:after="0" w:line="300" w:lineRule="exact"/>
              <w:ind w:left="0"/>
              <w:rPr>
                <w:rFonts w:cs="Arial"/>
                <w:szCs w:val="22"/>
              </w:rPr>
            </w:pPr>
            <w:r w:rsidRPr="00B06835">
              <w:rPr>
                <w:rFonts w:cs="Arial"/>
                <w:szCs w:val="22"/>
              </w:rPr>
              <w:t xml:space="preserve">3 Years but </w:t>
            </w:r>
          </w:p>
          <w:p w14:paraId="5F12AEBD" w14:textId="77777777" w:rsidR="00DD510A" w:rsidRPr="00B06835" w:rsidRDefault="00DD510A" w:rsidP="00B06835">
            <w:pPr>
              <w:pStyle w:val="BodyText"/>
              <w:spacing w:after="0" w:line="300" w:lineRule="exact"/>
              <w:ind w:left="0"/>
              <w:rPr>
                <w:rFonts w:cs="Arial"/>
                <w:szCs w:val="22"/>
              </w:rPr>
            </w:pPr>
            <w:r w:rsidRPr="00B06835">
              <w:rPr>
                <w:rFonts w:cs="Arial"/>
                <w:szCs w:val="22"/>
              </w:rPr>
              <w:t>Less Than 10</w:t>
            </w:r>
          </w:p>
        </w:tc>
        <w:tc>
          <w:tcPr>
            <w:tcW w:w="1625" w:type="dxa"/>
            <w:shd w:val="pct12" w:color="auto" w:fill="FFFFFF"/>
          </w:tcPr>
          <w:p w14:paraId="6AC6814B" w14:textId="77777777" w:rsidR="00DD510A" w:rsidRPr="00B06835" w:rsidRDefault="00DD510A" w:rsidP="00B06835">
            <w:pPr>
              <w:pStyle w:val="BodyText"/>
              <w:spacing w:after="0" w:line="300" w:lineRule="exact"/>
              <w:ind w:left="0"/>
              <w:rPr>
                <w:rFonts w:cs="Arial"/>
                <w:szCs w:val="22"/>
              </w:rPr>
            </w:pPr>
            <w:r w:rsidRPr="00B06835">
              <w:rPr>
                <w:rFonts w:cs="Arial"/>
                <w:szCs w:val="22"/>
              </w:rPr>
              <w:t>Greater Than</w:t>
            </w:r>
          </w:p>
          <w:p w14:paraId="5C5B0504" w14:textId="77777777" w:rsidR="00DD510A" w:rsidRPr="00B06835" w:rsidRDefault="00DD510A" w:rsidP="00B06835">
            <w:pPr>
              <w:pStyle w:val="BodyText"/>
              <w:spacing w:after="0" w:line="300" w:lineRule="exact"/>
              <w:ind w:left="0"/>
              <w:rPr>
                <w:rFonts w:cs="Arial"/>
                <w:szCs w:val="22"/>
              </w:rPr>
            </w:pPr>
            <w:r w:rsidRPr="00B06835">
              <w:rPr>
                <w:rFonts w:cs="Arial"/>
                <w:szCs w:val="22"/>
              </w:rPr>
              <w:t>10 Years</w:t>
            </w:r>
          </w:p>
        </w:tc>
      </w:tr>
      <w:tr w:rsidR="00DD510A" w:rsidRPr="00B06835" w14:paraId="4EA465FC" w14:textId="77777777" w:rsidTr="005164E0">
        <w:tc>
          <w:tcPr>
            <w:tcW w:w="2358" w:type="dxa"/>
          </w:tcPr>
          <w:p w14:paraId="6408CB4E" w14:textId="77777777" w:rsidR="00DD510A" w:rsidRPr="00B06835" w:rsidRDefault="00DD510A" w:rsidP="00B06835">
            <w:pPr>
              <w:pStyle w:val="BodyText"/>
              <w:spacing w:after="0" w:line="300" w:lineRule="exact"/>
              <w:ind w:left="0"/>
              <w:rPr>
                <w:rFonts w:cs="Arial"/>
                <w:szCs w:val="22"/>
              </w:rPr>
            </w:pPr>
            <w:r w:rsidRPr="00B06835">
              <w:rPr>
                <w:rFonts w:cs="Arial"/>
                <w:szCs w:val="22"/>
              </w:rPr>
              <w:t>Non-Exempt</w:t>
            </w:r>
          </w:p>
        </w:tc>
        <w:tc>
          <w:tcPr>
            <w:tcW w:w="1624" w:type="dxa"/>
          </w:tcPr>
          <w:p w14:paraId="406C67BF" w14:textId="77777777" w:rsidR="00DD510A" w:rsidRPr="00B06835" w:rsidRDefault="00DD510A" w:rsidP="00B06835">
            <w:pPr>
              <w:pStyle w:val="BodyText"/>
              <w:spacing w:after="0" w:line="300" w:lineRule="exact"/>
              <w:ind w:left="0"/>
              <w:rPr>
                <w:rFonts w:cs="Arial"/>
                <w:szCs w:val="22"/>
              </w:rPr>
            </w:pPr>
            <w:r w:rsidRPr="00B06835">
              <w:rPr>
                <w:rFonts w:cs="Arial"/>
                <w:szCs w:val="22"/>
              </w:rPr>
              <w:t>2 weeks</w:t>
            </w:r>
          </w:p>
        </w:tc>
        <w:tc>
          <w:tcPr>
            <w:tcW w:w="1624" w:type="dxa"/>
          </w:tcPr>
          <w:p w14:paraId="19D4E042" w14:textId="77777777" w:rsidR="00DD510A" w:rsidRPr="00B06835" w:rsidRDefault="00DD510A" w:rsidP="00B06835">
            <w:pPr>
              <w:pStyle w:val="BodyText"/>
              <w:spacing w:after="0" w:line="300" w:lineRule="exact"/>
              <w:ind w:left="0"/>
              <w:rPr>
                <w:rFonts w:cs="Arial"/>
                <w:szCs w:val="22"/>
              </w:rPr>
            </w:pPr>
            <w:r w:rsidRPr="00B06835">
              <w:rPr>
                <w:rFonts w:cs="Arial"/>
                <w:szCs w:val="22"/>
              </w:rPr>
              <w:t>2 weeks</w:t>
            </w:r>
          </w:p>
        </w:tc>
        <w:tc>
          <w:tcPr>
            <w:tcW w:w="1624" w:type="dxa"/>
          </w:tcPr>
          <w:p w14:paraId="16ABFD99" w14:textId="77777777" w:rsidR="00DD510A" w:rsidRPr="00B06835" w:rsidRDefault="00DD510A" w:rsidP="00B06835">
            <w:pPr>
              <w:pStyle w:val="BodyText"/>
              <w:spacing w:after="0" w:line="300" w:lineRule="exact"/>
              <w:ind w:left="0"/>
              <w:rPr>
                <w:rFonts w:cs="Arial"/>
                <w:szCs w:val="22"/>
              </w:rPr>
            </w:pPr>
            <w:r w:rsidRPr="00B06835">
              <w:rPr>
                <w:rFonts w:cs="Arial"/>
                <w:szCs w:val="22"/>
              </w:rPr>
              <w:t>4 weeks</w:t>
            </w:r>
          </w:p>
        </w:tc>
        <w:tc>
          <w:tcPr>
            <w:tcW w:w="1625" w:type="dxa"/>
          </w:tcPr>
          <w:p w14:paraId="5F2CA435" w14:textId="77777777" w:rsidR="00DD510A" w:rsidRPr="00B06835" w:rsidRDefault="00DD510A" w:rsidP="00B06835">
            <w:pPr>
              <w:pStyle w:val="BodyText"/>
              <w:spacing w:after="0" w:line="300" w:lineRule="exact"/>
              <w:ind w:left="0"/>
              <w:rPr>
                <w:rFonts w:cs="Arial"/>
                <w:szCs w:val="22"/>
              </w:rPr>
            </w:pPr>
            <w:r w:rsidRPr="00B06835">
              <w:rPr>
                <w:rFonts w:cs="Arial"/>
                <w:szCs w:val="22"/>
              </w:rPr>
              <w:t>6 weeks</w:t>
            </w:r>
          </w:p>
        </w:tc>
      </w:tr>
      <w:tr w:rsidR="00DD510A" w:rsidRPr="00B06835" w14:paraId="2A13BFAC" w14:textId="77777777" w:rsidTr="005164E0">
        <w:tc>
          <w:tcPr>
            <w:tcW w:w="2358" w:type="dxa"/>
          </w:tcPr>
          <w:p w14:paraId="13E9617F" w14:textId="77777777" w:rsidR="00DD510A" w:rsidRPr="00B06835" w:rsidRDefault="00DD510A" w:rsidP="00B06835">
            <w:pPr>
              <w:pStyle w:val="BodyText"/>
              <w:spacing w:after="0" w:line="300" w:lineRule="exact"/>
              <w:ind w:left="0"/>
              <w:rPr>
                <w:rFonts w:cs="Arial"/>
                <w:szCs w:val="22"/>
              </w:rPr>
            </w:pPr>
            <w:r w:rsidRPr="00B06835">
              <w:rPr>
                <w:rFonts w:cs="Arial"/>
                <w:szCs w:val="22"/>
              </w:rPr>
              <w:t>Exempt/Professional</w:t>
            </w:r>
          </w:p>
        </w:tc>
        <w:tc>
          <w:tcPr>
            <w:tcW w:w="1624" w:type="dxa"/>
          </w:tcPr>
          <w:p w14:paraId="7B4DFCA8" w14:textId="77777777" w:rsidR="00DD510A" w:rsidRPr="00B06835" w:rsidRDefault="00DD510A" w:rsidP="00B06835">
            <w:pPr>
              <w:pStyle w:val="BodyText"/>
              <w:spacing w:after="0" w:line="300" w:lineRule="exact"/>
              <w:ind w:left="0"/>
              <w:rPr>
                <w:rFonts w:cs="Arial"/>
                <w:szCs w:val="22"/>
              </w:rPr>
            </w:pPr>
            <w:r w:rsidRPr="00B06835">
              <w:rPr>
                <w:rFonts w:cs="Arial"/>
                <w:szCs w:val="22"/>
              </w:rPr>
              <w:t>2 weeks</w:t>
            </w:r>
          </w:p>
        </w:tc>
        <w:tc>
          <w:tcPr>
            <w:tcW w:w="1624" w:type="dxa"/>
          </w:tcPr>
          <w:p w14:paraId="79E2A9B8" w14:textId="77777777" w:rsidR="00DD510A" w:rsidRPr="00B06835" w:rsidRDefault="00DD510A" w:rsidP="00B06835">
            <w:pPr>
              <w:pStyle w:val="BodyText"/>
              <w:spacing w:after="0" w:line="300" w:lineRule="exact"/>
              <w:ind w:left="0"/>
              <w:rPr>
                <w:rFonts w:cs="Arial"/>
                <w:szCs w:val="22"/>
              </w:rPr>
            </w:pPr>
            <w:r w:rsidRPr="00B06835">
              <w:rPr>
                <w:rFonts w:cs="Arial"/>
                <w:szCs w:val="22"/>
              </w:rPr>
              <w:t>4 weeks</w:t>
            </w:r>
          </w:p>
        </w:tc>
        <w:tc>
          <w:tcPr>
            <w:tcW w:w="1624" w:type="dxa"/>
          </w:tcPr>
          <w:p w14:paraId="0795FF3E" w14:textId="77777777" w:rsidR="00DD510A" w:rsidRPr="00B06835" w:rsidRDefault="00DD510A" w:rsidP="00B06835">
            <w:pPr>
              <w:pStyle w:val="BodyText"/>
              <w:spacing w:after="0" w:line="300" w:lineRule="exact"/>
              <w:ind w:left="0"/>
              <w:rPr>
                <w:rFonts w:cs="Arial"/>
                <w:szCs w:val="22"/>
              </w:rPr>
            </w:pPr>
            <w:r w:rsidRPr="00B06835">
              <w:rPr>
                <w:rFonts w:cs="Arial"/>
                <w:szCs w:val="22"/>
              </w:rPr>
              <w:t>6 weeks</w:t>
            </w:r>
          </w:p>
        </w:tc>
        <w:tc>
          <w:tcPr>
            <w:tcW w:w="1625" w:type="dxa"/>
          </w:tcPr>
          <w:p w14:paraId="206DA9B1" w14:textId="77777777" w:rsidR="00DD510A" w:rsidRPr="00B06835" w:rsidRDefault="00DD510A" w:rsidP="00B06835">
            <w:pPr>
              <w:pStyle w:val="BodyText"/>
              <w:spacing w:after="0" w:line="300" w:lineRule="exact"/>
              <w:ind w:left="0"/>
              <w:rPr>
                <w:rFonts w:cs="Arial"/>
                <w:szCs w:val="22"/>
              </w:rPr>
            </w:pPr>
            <w:r w:rsidRPr="00B06835">
              <w:rPr>
                <w:rFonts w:cs="Arial"/>
                <w:szCs w:val="22"/>
              </w:rPr>
              <w:t>8 weeks</w:t>
            </w:r>
          </w:p>
        </w:tc>
      </w:tr>
      <w:tr w:rsidR="00DD510A" w:rsidRPr="00B06835" w14:paraId="5AB7BD7C" w14:textId="77777777" w:rsidTr="005164E0">
        <w:tc>
          <w:tcPr>
            <w:tcW w:w="2358" w:type="dxa"/>
          </w:tcPr>
          <w:p w14:paraId="52ACF131" w14:textId="77777777" w:rsidR="00DD510A" w:rsidRPr="00B06835" w:rsidRDefault="00DD510A" w:rsidP="00B06835">
            <w:pPr>
              <w:pStyle w:val="BodyText"/>
              <w:spacing w:after="0" w:line="300" w:lineRule="exact"/>
              <w:ind w:left="0"/>
              <w:rPr>
                <w:rFonts w:cs="Arial"/>
                <w:szCs w:val="22"/>
              </w:rPr>
            </w:pPr>
            <w:r w:rsidRPr="00B06835">
              <w:rPr>
                <w:rFonts w:cs="Arial"/>
                <w:szCs w:val="22"/>
              </w:rPr>
              <w:t>Management</w:t>
            </w:r>
          </w:p>
        </w:tc>
        <w:tc>
          <w:tcPr>
            <w:tcW w:w="1624" w:type="dxa"/>
          </w:tcPr>
          <w:p w14:paraId="4FADB81F" w14:textId="77777777" w:rsidR="00DD510A" w:rsidRPr="00B06835" w:rsidRDefault="00DD510A" w:rsidP="00B06835">
            <w:pPr>
              <w:pStyle w:val="BodyText"/>
              <w:spacing w:after="0" w:line="300" w:lineRule="exact"/>
              <w:ind w:left="0"/>
              <w:rPr>
                <w:rFonts w:cs="Arial"/>
                <w:szCs w:val="22"/>
              </w:rPr>
            </w:pPr>
            <w:r w:rsidRPr="00B06835">
              <w:rPr>
                <w:rFonts w:cs="Arial"/>
                <w:szCs w:val="22"/>
              </w:rPr>
              <w:t>4 weeks</w:t>
            </w:r>
          </w:p>
        </w:tc>
        <w:tc>
          <w:tcPr>
            <w:tcW w:w="1624" w:type="dxa"/>
          </w:tcPr>
          <w:p w14:paraId="567D5680" w14:textId="77777777" w:rsidR="00DD510A" w:rsidRPr="00B06835" w:rsidRDefault="00DD510A" w:rsidP="00B06835">
            <w:pPr>
              <w:pStyle w:val="BodyText"/>
              <w:spacing w:after="0" w:line="300" w:lineRule="exact"/>
              <w:ind w:left="0"/>
              <w:rPr>
                <w:rFonts w:cs="Arial"/>
                <w:szCs w:val="22"/>
              </w:rPr>
            </w:pPr>
            <w:r w:rsidRPr="00B06835">
              <w:rPr>
                <w:rFonts w:cs="Arial"/>
                <w:szCs w:val="22"/>
              </w:rPr>
              <w:t>6 weeks</w:t>
            </w:r>
          </w:p>
        </w:tc>
        <w:tc>
          <w:tcPr>
            <w:tcW w:w="1624" w:type="dxa"/>
          </w:tcPr>
          <w:p w14:paraId="216C5327" w14:textId="77777777" w:rsidR="00DD510A" w:rsidRPr="00B06835" w:rsidRDefault="00DD510A" w:rsidP="00B06835">
            <w:pPr>
              <w:pStyle w:val="BodyText"/>
              <w:spacing w:after="0" w:line="300" w:lineRule="exact"/>
              <w:ind w:left="0"/>
              <w:rPr>
                <w:rFonts w:cs="Arial"/>
                <w:szCs w:val="22"/>
              </w:rPr>
            </w:pPr>
            <w:r w:rsidRPr="00B06835">
              <w:rPr>
                <w:rFonts w:cs="Arial"/>
                <w:szCs w:val="22"/>
              </w:rPr>
              <w:t>8 weeks</w:t>
            </w:r>
          </w:p>
        </w:tc>
        <w:tc>
          <w:tcPr>
            <w:tcW w:w="1625" w:type="dxa"/>
          </w:tcPr>
          <w:p w14:paraId="53BED329" w14:textId="77777777" w:rsidR="00DD510A" w:rsidRPr="00B06835" w:rsidRDefault="00DD510A" w:rsidP="00B06835">
            <w:pPr>
              <w:pStyle w:val="BodyText"/>
              <w:spacing w:after="0" w:line="300" w:lineRule="exact"/>
              <w:ind w:left="0"/>
              <w:rPr>
                <w:rFonts w:cs="Arial"/>
                <w:szCs w:val="22"/>
              </w:rPr>
            </w:pPr>
            <w:r w:rsidRPr="00B06835">
              <w:rPr>
                <w:rFonts w:cs="Arial"/>
                <w:szCs w:val="22"/>
              </w:rPr>
              <w:t>12 weeks</w:t>
            </w:r>
          </w:p>
        </w:tc>
      </w:tr>
    </w:tbl>
    <w:p w14:paraId="55ED25F9" w14:textId="77777777" w:rsidR="007226B1" w:rsidRPr="00B06835" w:rsidRDefault="00DD510A" w:rsidP="00B06835">
      <w:pPr>
        <w:pStyle w:val="BodyText"/>
        <w:tabs>
          <w:tab w:val="left" w:pos="450"/>
        </w:tabs>
        <w:spacing w:after="0" w:line="300" w:lineRule="exact"/>
        <w:ind w:left="0"/>
        <w:rPr>
          <w:rFonts w:cs="Arial"/>
          <w:szCs w:val="22"/>
        </w:rPr>
      </w:pPr>
      <w:r w:rsidRPr="00B06835">
        <w:rPr>
          <w:rFonts w:cs="Arial"/>
          <w:szCs w:val="22"/>
        </w:rPr>
        <w:t>Table 1</w:t>
      </w:r>
    </w:p>
    <w:p w14:paraId="05D698D4" w14:textId="77777777" w:rsidR="00DD510A" w:rsidRPr="00B06835" w:rsidRDefault="00DD510A" w:rsidP="00B06835">
      <w:pPr>
        <w:pStyle w:val="BodyText"/>
        <w:tabs>
          <w:tab w:val="left" w:pos="450"/>
        </w:tabs>
        <w:spacing w:after="0" w:line="300" w:lineRule="exact"/>
        <w:ind w:left="0"/>
        <w:rPr>
          <w:rFonts w:cs="Arial"/>
          <w:szCs w:val="22"/>
        </w:rPr>
      </w:pPr>
    </w:p>
    <w:p w14:paraId="31032B10" w14:textId="77777777" w:rsidR="005164E0" w:rsidRDefault="005164E0">
      <w:pPr>
        <w:ind w:left="0"/>
        <w:rPr>
          <w:rFonts w:cs="Arial"/>
          <w:szCs w:val="22"/>
        </w:rPr>
      </w:pPr>
      <w:r>
        <w:rPr>
          <w:rFonts w:cs="Arial"/>
          <w:szCs w:val="22"/>
        </w:rPr>
        <w:br w:type="page"/>
      </w:r>
    </w:p>
    <w:p w14:paraId="14B1A88D" w14:textId="7A1C76B6" w:rsidR="007226B1" w:rsidRPr="00B06835" w:rsidRDefault="007226B1" w:rsidP="005164E0">
      <w:pPr>
        <w:pStyle w:val="BodyText"/>
        <w:numPr>
          <w:ilvl w:val="0"/>
          <w:numId w:val="34"/>
        </w:numPr>
        <w:tabs>
          <w:tab w:val="left" w:pos="450"/>
        </w:tabs>
        <w:spacing w:after="0" w:line="300" w:lineRule="exact"/>
        <w:rPr>
          <w:rFonts w:cs="Arial"/>
          <w:szCs w:val="22"/>
        </w:rPr>
      </w:pPr>
      <w:r w:rsidRPr="00B06835">
        <w:rPr>
          <w:rFonts w:cs="Arial"/>
          <w:szCs w:val="22"/>
        </w:rPr>
        <w:t xml:space="preserve">Severance compensation established by Table 1, </w:t>
      </w:r>
      <w:r w:rsidR="000752C6" w:rsidRPr="00B06835">
        <w:rPr>
          <w:rFonts w:cs="Arial"/>
          <w:szCs w:val="22"/>
        </w:rPr>
        <w:t xml:space="preserve">will </w:t>
      </w:r>
      <w:r w:rsidRPr="00B06835">
        <w:rPr>
          <w:rFonts w:cs="Arial"/>
          <w:szCs w:val="22"/>
        </w:rPr>
        <w:t>be payable according to the following schedule:</w:t>
      </w:r>
    </w:p>
    <w:p w14:paraId="39C3A498" w14:textId="77777777" w:rsidR="001F1A82" w:rsidRPr="00B06835" w:rsidRDefault="001F1A82" w:rsidP="00B06835">
      <w:pPr>
        <w:pStyle w:val="BodyText"/>
        <w:tabs>
          <w:tab w:val="left" w:pos="450"/>
        </w:tabs>
        <w:spacing w:after="0" w:line="300" w:lineRule="exact"/>
        <w:ind w:left="0"/>
        <w:rPr>
          <w:rFonts w:cs="Arial"/>
          <w:szCs w:val="22"/>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F1A82" w:rsidRPr="00B06835" w14:paraId="6391CA52" w14:textId="77777777" w:rsidTr="005164E0">
        <w:tc>
          <w:tcPr>
            <w:tcW w:w="4428" w:type="dxa"/>
            <w:shd w:val="clear" w:color="auto" w:fill="D9D9D9"/>
          </w:tcPr>
          <w:p w14:paraId="3F7F4D65"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Benefit Weeks</w:t>
            </w:r>
          </w:p>
        </w:tc>
        <w:tc>
          <w:tcPr>
            <w:tcW w:w="4428" w:type="dxa"/>
            <w:tcBorders>
              <w:top w:val="single" w:sz="4" w:space="0" w:color="auto"/>
              <w:right w:val="single" w:sz="4" w:space="0" w:color="auto"/>
            </w:tcBorders>
            <w:shd w:val="clear" w:color="auto" w:fill="auto"/>
          </w:tcPr>
          <w:p w14:paraId="11C8E8A5" w14:textId="77777777" w:rsidR="001F1A82" w:rsidRPr="00B06835" w:rsidRDefault="001F1A82" w:rsidP="00B06835">
            <w:pPr>
              <w:pStyle w:val="BodyText"/>
              <w:tabs>
                <w:tab w:val="left" w:pos="450"/>
              </w:tabs>
              <w:spacing w:after="0" w:line="300" w:lineRule="exact"/>
              <w:ind w:left="0"/>
              <w:rPr>
                <w:rFonts w:cs="Arial"/>
                <w:szCs w:val="22"/>
              </w:rPr>
            </w:pPr>
          </w:p>
        </w:tc>
      </w:tr>
      <w:tr w:rsidR="001F1A82" w:rsidRPr="00B06835" w14:paraId="411DC743" w14:textId="77777777" w:rsidTr="001802A2">
        <w:tc>
          <w:tcPr>
            <w:tcW w:w="4428" w:type="dxa"/>
            <w:shd w:val="clear" w:color="auto" w:fill="auto"/>
          </w:tcPr>
          <w:p w14:paraId="6B0B9775"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 xml:space="preserve">1 – 4 </w:t>
            </w:r>
          </w:p>
        </w:tc>
        <w:tc>
          <w:tcPr>
            <w:tcW w:w="4428" w:type="dxa"/>
            <w:shd w:val="clear" w:color="auto" w:fill="auto"/>
          </w:tcPr>
          <w:p w14:paraId="36BE6462"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 xml:space="preserve">Payable at 100% of employee’s base rate  </w:t>
            </w:r>
          </w:p>
        </w:tc>
      </w:tr>
      <w:tr w:rsidR="001F1A82" w:rsidRPr="00B06835" w14:paraId="70A91AC9" w14:textId="77777777" w:rsidTr="001802A2">
        <w:tc>
          <w:tcPr>
            <w:tcW w:w="4428" w:type="dxa"/>
            <w:shd w:val="clear" w:color="auto" w:fill="auto"/>
          </w:tcPr>
          <w:p w14:paraId="2E723001"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 xml:space="preserve">5 – 6 </w:t>
            </w:r>
          </w:p>
        </w:tc>
        <w:tc>
          <w:tcPr>
            <w:tcW w:w="4428" w:type="dxa"/>
            <w:shd w:val="clear" w:color="auto" w:fill="auto"/>
          </w:tcPr>
          <w:p w14:paraId="6DA867F5"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90% of employee’s base rate</w:t>
            </w:r>
          </w:p>
        </w:tc>
      </w:tr>
      <w:tr w:rsidR="001F1A82" w:rsidRPr="00B06835" w14:paraId="13632A6F" w14:textId="77777777" w:rsidTr="001802A2">
        <w:tc>
          <w:tcPr>
            <w:tcW w:w="4428" w:type="dxa"/>
            <w:shd w:val="clear" w:color="auto" w:fill="auto"/>
          </w:tcPr>
          <w:p w14:paraId="227589BB"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 xml:space="preserve">7 – 8 </w:t>
            </w:r>
          </w:p>
        </w:tc>
        <w:tc>
          <w:tcPr>
            <w:tcW w:w="4428" w:type="dxa"/>
            <w:shd w:val="clear" w:color="auto" w:fill="auto"/>
          </w:tcPr>
          <w:p w14:paraId="12319664"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80% of employee’s base rate</w:t>
            </w:r>
          </w:p>
        </w:tc>
      </w:tr>
      <w:tr w:rsidR="001F1A82" w:rsidRPr="00B06835" w14:paraId="0745F781" w14:textId="77777777" w:rsidTr="001802A2">
        <w:tc>
          <w:tcPr>
            <w:tcW w:w="4428" w:type="dxa"/>
            <w:shd w:val="clear" w:color="auto" w:fill="auto"/>
          </w:tcPr>
          <w:p w14:paraId="5E5FAF53"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9 – 10</w:t>
            </w:r>
          </w:p>
        </w:tc>
        <w:tc>
          <w:tcPr>
            <w:tcW w:w="4428" w:type="dxa"/>
            <w:shd w:val="clear" w:color="auto" w:fill="auto"/>
          </w:tcPr>
          <w:p w14:paraId="17D5FC8A"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70% of employee’s base rate</w:t>
            </w:r>
          </w:p>
        </w:tc>
      </w:tr>
      <w:tr w:rsidR="001F1A82" w:rsidRPr="00B06835" w14:paraId="771A1A69" w14:textId="77777777" w:rsidTr="001802A2">
        <w:tc>
          <w:tcPr>
            <w:tcW w:w="4428" w:type="dxa"/>
            <w:shd w:val="clear" w:color="auto" w:fill="auto"/>
          </w:tcPr>
          <w:p w14:paraId="2234BA46"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11 – 12</w:t>
            </w:r>
          </w:p>
        </w:tc>
        <w:tc>
          <w:tcPr>
            <w:tcW w:w="4428" w:type="dxa"/>
            <w:shd w:val="clear" w:color="auto" w:fill="auto"/>
          </w:tcPr>
          <w:p w14:paraId="5BDAE1ED"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60% of employee’s base rate</w:t>
            </w:r>
          </w:p>
        </w:tc>
      </w:tr>
      <w:tr w:rsidR="001F1A82" w:rsidRPr="00B06835" w14:paraId="6B77F0BD" w14:textId="77777777" w:rsidTr="001802A2">
        <w:tc>
          <w:tcPr>
            <w:tcW w:w="4428" w:type="dxa"/>
            <w:shd w:val="clear" w:color="auto" w:fill="auto"/>
          </w:tcPr>
          <w:p w14:paraId="3F741BC4"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 xml:space="preserve">13 – 14 </w:t>
            </w:r>
          </w:p>
        </w:tc>
        <w:tc>
          <w:tcPr>
            <w:tcW w:w="4428" w:type="dxa"/>
            <w:shd w:val="clear" w:color="auto" w:fill="auto"/>
          </w:tcPr>
          <w:p w14:paraId="6459FE26"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50% of employee’s base rate</w:t>
            </w:r>
          </w:p>
        </w:tc>
      </w:tr>
      <w:tr w:rsidR="001F1A82" w:rsidRPr="00B06835" w14:paraId="6B051FEA" w14:textId="77777777" w:rsidTr="001802A2">
        <w:tc>
          <w:tcPr>
            <w:tcW w:w="4428" w:type="dxa"/>
            <w:shd w:val="clear" w:color="auto" w:fill="auto"/>
          </w:tcPr>
          <w:p w14:paraId="735B62F1"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Thereafter</w:t>
            </w:r>
          </w:p>
        </w:tc>
        <w:tc>
          <w:tcPr>
            <w:tcW w:w="4428" w:type="dxa"/>
            <w:shd w:val="clear" w:color="auto" w:fill="auto"/>
          </w:tcPr>
          <w:p w14:paraId="13EFA121" w14:textId="77777777" w:rsidR="001F1A82" w:rsidRPr="00B06835" w:rsidRDefault="001F1A82" w:rsidP="00B06835">
            <w:pPr>
              <w:pStyle w:val="BodyText"/>
              <w:tabs>
                <w:tab w:val="left" w:pos="450"/>
              </w:tabs>
              <w:spacing w:after="0" w:line="300" w:lineRule="exact"/>
              <w:ind w:left="0"/>
              <w:rPr>
                <w:rFonts w:cs="Arial"/>
                <w:szCs w:val="22"/>
              </w:rPr>
            </w:pPr>
            <w:r w:rsidRPr="00B06835">
              <w:rPr>
                <w:rFonts w:cs="Arial"/>
                <w:szCs w:val="22"/>
              </w:rPr>
              <w:t>50% of employee’s base rate</w:t>
            </w:r>
          </w:p>
        </w:tc>
      </w:tr>
    </w:tbl>
    <w:p w14:paraId="7C263907" w14:textId="77777777" w:rsidR="00BB1CB9" w:rsidRPr="00B06835" w:rsidRDefault="00BB1CB9" w:rsidP="00B06835">
      <w:pPr>
        <w:pStyle w:val="BodyText"/>
        <w:tabs>
          <w:tab w:val="left" w:pos="450"/>
        </w:tabs>
        <w:spacing w:after="0" w:line="300" w:lineRule="exact"/>
        <w:ind w:left="0"/>
        <w:rPr>
          <w:rFonts w:cs="Arial"/>
          <w:szCs w:val="22"/>
        </w:rPr>
      </w:pPr>
    </w:p>
    <w:p w14:paraId="5CC2FC25" w14:textId="275CEFD0" w:rsidR="007226B1" w:rsidRPr="00B06835" w:rsidRDefault="007226B1" w:rsidP="005164E0">
      <w:pPr>
        <w:pStyle w:val="BodyText"/>
        <w:numPr>
          <w:ilvl w:val="0"/>
          <w:numId w:val="35"/>
        </w:numPr>
        <w:tabs>
          <w:tab w:val="left" w:pos="450"/>
        </w:tabs>
        <w:spacing w:after="0" w:line="300" w:lineRule="exact"/>
        <w:rPr>
          <w:rFonts w:cs="Arial"/>
          <w:szCs w:val="22"/>
        </w:rPr>
      </w:pPr>
      <w:r w:rsidRPr="00B06835">
        <w:rPr>
          <w:rFonts w:cs="Arial"/>
          <w:szCs w:val="22"/>
        </w:rPr>
        <w:t xml:space="preserve">Severance pay for non-exempt employees </w:t>
      </w:r>
      <w:r w:rsidR="000752C6" w:rsidRPr="00B06835">
        <w:rPr>
          <w:rFonts w:cs="Arial"/>
          <w:szCs w:val="22"/>
        </w:rPr>
        <w:t xml:space="preserve">will </w:t>
      </w:r>
      <w:r w:rsidRPr="00B06835">
        <w:rPr>
          <w:rFonts w:cs="Arial"/>
          <w:szCs w:val="22"/>
        </w:rPr>
        <w:t xml:space="preserve">be calculated on base pay only on the employee’s standard workweek (normally 40 hours).  Severance pay for exempt employees </w:t>
      </w:r>
      <w:r w:rsidR="000752C6" w:rsidRPr="00B06835">
        <w:rPr>
          <w:rFonts w:cs="Arial"/>
          <w:szCs w:val="22"/>
        </w:rPr>
        <w:t xml:space="preserve">will </w:t>
      </w:r>
      <w:r w:rsidRPr="00B06835">
        <w:rPr>
          <w:rFonts w:cs="Arial"/>
          <w:szCs w:val="22"/>
        </w:rPr>
        <w:t>be calculated on the employee’s base bi-weekly rate only.</w:t>
      </w:r>
    </w:p>
    <w:p w14:paraId="3F501219" w14:textId="77777777" w:rsidR="007226B1" w:rsidRPr="00B06835" w:rsidRDefault="007226B1" w:rsidP="00B06835">
      <w:pPr>
        <w:pStyle w:val="BodyText"/>
        <w:tabs>
          <w:tab w:val="left" w:pos="450"/>
        </w:tabs>
        <w:spacing w:after="0" w:line="300" w:lineRule="exact"/>
        <w:ind w:left="0"/>
        <w:rPr>
          <w:rFonts w:cs="Arial"/>
          <w:szCs w:val="22"/>
        </w:rPr>
      </w:pPr>
    </w:p>
    <w:p w14:paraId="7DD3302E" w14:textId="77777777" w:rsidR="007226B1" w:rsidRPr="00B06835" w:rsidRDefault="007226B1" w:rsidP="005164E0">
      <w:pPr>
        <w:pStyle w:val="BodyText"/>
        <w:numPr>
          <w:ilvl w:val="0"/>
          <w:numId w:val="35"/>
        </w:numPr>
        <w:tabs>
          <w:tab w:val="left" w:pos="450"/>
        </w:tabs>
        <w:spacing w:after="0" w:line="300" w:lineRule="exact"/>
        <w:rPr>
          <w:rFonts w:cs="Arial"/>
          <w:szCs w:val="22"/>
        </w:rPr>
      </w:pPr>
      <w:r w:rsidRPr="00B06835">
        <w:rPr>
          <w:rFonts w:cs="Arial"/>
          <w:szCs w:val="22"/>
        </w:rPr>
        <w:t>The severance pay allowance includes pay for any time worked following the last regularly scheduled workday.  No additional pay will be made for recognized holidays during such severance pay period.</w:t>
      </w:r>
    </w:p>
    <w:p w14:paraId="29EC5284" w14:textId="77777777" w:rsidR="007226B1" w:rsidRPr="00B06835" w:rsidRDefault="007226B1" w:rsidP="00B06835">
      <w:pPr>
        <w:pStyle w:val="BodyText"/>
        <w:tabs>
          <w:tab w:val="left" w:pos="450"/>
        </w:tabs>
        <w:spacing w:after="0" w:line="300" w:lineRule="exact"/>
        <w:ind w:left="0"/>
        <w:rPr>
          <w:rFonts w:cs="Arial"/>
          <w:szCs w:val="22"/>
        </w:rPr>
      </w:pPr>
    </w:p>
    <w:p w14:paraId="6A266AE4" w14:textId="3368D6D4" w:rsidR="007226B1" w:rsidRPr="00B06835" w:rsidRDefault="007226B1" w:rsidP="005164E0">
      <w:pPr>
        <w:pStyle w:val="BodyText"/>
        <w:numPr>
          <w:ilvl w:val="0"/>
          <w:numId w:val="35"/>
        </w:numPr>
        <w:tabs>
          <w:tab w:val="left" w:pos="450"/>
        </w:tabs>
        <w:spacing w:after="0" w:line="300" w:lineRule="exact"/>
        <w:rPr>
          <w:rFonts w:cs="Arial"/>
          <w:szCs w:val="22"/>
        </w:rPr>
      </w:pPr>
      <w:r w:rsidRPr="00B06835">
        <w:rPr>
          <w:rFonts w:cs="Arial"/>
          <w:szCs w:val="22"/>
        </w:rPr>
        <w:t xml:space="preserve">In the event the </w:t>
      </w:r>
      <w:r w:rsidR="00DF147A" w:rsidRPr="00B06835">
        <w:rPr>
          <w:rFonts w:cs="Arial"/>
          <w:szCs w:val="22"/>
        </w:rPr>
        <w:t>C</w:t>
      </w:r>
      <w:r w:rsidRPr="00B06835">
        <w:rPr>
          <w:rFonts w:cs="Arial"/>
          <w:szCs w:val="22"/>
        </w:rPr>
        <w:t xml:space="preserve">ompany elects to make severance payments, they will be made at what would have been the separated employee’s regular payment interval until the allowance is exhausted or the employee commences any other full-time employment, whichever occurs first.  In the event that the separated employee secures part-time employment, any compensation received due to such part-time employment </w:t>
      </w:r>
      <w:r w:rsidR="00B244D5" w:rsidRPr="00B06835">
        <w:rPr>
          <w:rFonts w:cs="Arial"/>
          <w:szCs w:val="22"/>
        </w:rPr>
        <w:t xml:space="preserve">will </w:t>
      </w:r>
      <w:r w:rsidRPr="00B06835">
        <w:rPr>
          <w:rFonts w:cs="Arial"/>
          <w:szCs w:val="22"/>
        </w:rPr>
        <w:t>be deducted from the severance payments.</w:t>
      </w:r>
    </w:p>
    <w:p w14:paraId="5EDF9DF8" w14:textId="77777777" w:rsidR="007226B1" w:rsidRPr="00B06835" w:rsidRDefault="007226B1" w:rsidP="00B06835">
      <w:pPr>
        <w:pStyle w:val="BodyText"/>
        <w:tabs>
          <w:tab w:val="left" w:pos="450"/>
        </w:tabs>
        <w:spacing w:after="0" w:line="300" w:lineRule="exact"/>
        <w:ind w:left="0"/>
        <w:rPr>
          <w:rFonts w:cs="Arial"/>
          <w:szCs w:val="22"/>
        </w:rPr>
      </w:pPr>
    </w:p>
    <w:p w14:paraId="43BC1793" w14:textId="06FCD10B" w:rsidR="007226B1" w:rsidRPr="00B06835" w:rsidRDefault="007226B1" w:rsidP="005164E0">
      <w:pPr>
        <w:pStyle w:val="BodyText"/>
        <w:numPr>
          <w:ilvl w:val="0"/>
          <w:numId w:val="35"/>
        </w:numPr>
        <w:tabs>
          <w:tab w:val="left" w:pos="450"/>
        </w:tabs>
        <w:spacing w:after="0" w:line="300" w:lineRule="exact"/>
        <w:rPr>
          <w:rFonts w:cs="Arial"/>
          <w:szCs w:val="22"/>
        </w:rPr>
      </w:pPr>
      <w:r w:rsidRPr="00B06835">
        <w:rPr>
          <w:rFonts w:cs="Arial"/>
          <w:szCs w:val="22"/>
        </w:rPr>
        <w:t xml:space="preserve">Prior to the receipt of each payment of severance pay, the separated employee </w:t>
      </w:r>
      <w:r w:rsidR="004271B2" w:rsidRPr="00B06835">
        <w:rPr>
          <w:rFonts w:cs="Arial"/>
          <w:szCs w:val="22"/>
        </w:rPr>
        <w:t xml:space="preserve">is required to </w:t>
      </w:r>
      <w:r w:rsidRPr="00B06835">
        <w:rPr>
          <w:rFonts w:cs="Arial"/>
          <w:szCs w:val="22"/>
        </w:rPr>
        <w:t xml:space="preserve">certify that employment and the means by which it is being actively sought has not yet been secured.  In the event that part-time employment has been secured, the employee is required to report to </w:t>
      </w:r>
      <w:r w:rsidR="00DF147A" w:rsidRPr="00B06835">
        <w:rPr>
          <w:rFonts w:cs="Arial"/>
          <w:szCs w:val="22"/>
        </w:rPr>
        <w:t>t</w:t>
      </w:r>
      <w:r w:rsidR="005C2EA4" w:rsidRPr="00B06835">
        <w:rPr>
          <w:rFonts w:cs="Arial"/>
          <w:szCs w:val="22"/>
        </w:rPr>
        <w:t>he Company</w:t>
      </w:r>
      <w:r w:rsidRPr="00B06835">
        <w:rPr>
          <w:rFonts w:cs="Arial"/>
          <w:szCs w:val="22"/>
        </w:rPr>
        <w:t xml:space="preserve"> the amount of any earnings due to such part-time employment and the name of such part-time employer.</w:t>
      </w:r>
    </w:p>
    <w:p w14:paraId="21E12C22" w14:textId="77777777" w:rsidR="007226B1" w:rsidRPr="00B06835" w:rsidRDefault="007226B1" w:rsidP="00B06835">
      <w:pPr>
        <w:pStyle w:val="BodyText"/>
        <w:tabs>
          <w:tab w:val="left" w:pos="450"/>
        </w:tabs>
        <w:spacing w:after="0" w:line="300" w:lineRule="exact"/>
        <w:ind w:left="0"/>
        <w:rPr>
          <w:rFonts w:cs="Arial"/>
          <w:szCs w:val="22"/>
        </w:rPr>
      </w:pPr>
    </w:p>
    <w:p w14:paraId="5666E400" w14:textId="77777777" w:rsidR="007226B1" w:rsidRPr="00B06835" w:rsidRDefault="007226B1" w:rsidP="00B06835">
      <w:pPr>
        <w:pStyle w:val="BodyText"/>
        <w:numPr>
          <w:ilvl w:val="0"/>
          <w:numId w:val="31"/>
        </w:numPr>
        <w:tabs>
          <w:tab w:val="left" w:pos="360"/>
          <w:tab w:val="left" w:pos="450"/>
        </w:tabs>
        <w:spacing w:after="0" w:line="300" w:lineRule="exact"/>
        <w:ind w:left="360"/>
        <w:rPr>
          <w:rFonts w:cs="Arial"/>
          <w:szCs w:val="22"/>
        </w:rPr>
      </w:pPr>
      <w:r w:rsidRPr="00B06835">
        <w:rPr>
          <w:rFonts w:cs="Arial"/>
          <w:szCs w:val="22"/>
        </w:rPr>
        <w:t>Benefits</w:t>
      </w:r>
    </w:p>
    <w:p w14:paraId="4445B110" w14:textId="252CC10A" w:rsidR="007226B1" w:rsidRPr="00B06835" w:rsidRDefault="005C2EA4" w:rsidP="005164E0">
      <w:pPr>
        <w:pStyle w:val="BodyText"/>
        <w:numPr>
          <w:ilvl w:val="0"/>
          <w:numId w:val="36"/>
        </w:numPr>
        <w:tabs>
          <w:tab w:val="left" w:pos="450"/>
        </w:tabs>
        <w:spacing w:after="0" w:line="300" w:lineRule="exact"/>
        <w:rPr>
          <w:rFonts w:cs="Arial"/>
          <w:szCs w:val="22"/>
        </w:rPr>
      </w:pPr>
      <w:r w:rsidRPr="00B06835">
        <w:rPr>
          <w:rFonts w:cs="Arial"/>
          <w:szCs w:val="22"/>
        </w:rPr>
        <w:t>The Company</w:t>
      </w:r>
      <w:r w:rsidR="007226B1" w:rsidRPr="00B06835">
        <w:rPr>
          <w:rFonts w:cs="Arial"/>
          <w:szCs w:val="22"/>
        </w:rPr>
        <w:t xml:space="preserve"> will continue medical, dental, and life coverages in effect as of the employee’s date of termination until the employee commences other employment</w:t>
      </w:r>
      <w:r w:rsidR="006616CD" w:rsidRPr="00B06835">
        <w:rPr>
          <w:rFonts w:cs="Arial"/>
          <w:szCs w:val="22"/>
        </w:rPr>
        <w:t>,</w:t>
      </w:r>
      <w:r w:rsidR="007226B1" w:rsidRPr="00B06835">
        <w:rPr>
          <w:rFonts w:cs="Arial"/>
          <w:szCs w:val="22"/>
        </w:rPr>
        <w:t xml:space="preserve"> but in no event </w:t>
      </w:r>
      <w:r w:rsidR="00B244D5" w:rsidRPr="00B06835">
        <w:rPr>
          <w:rFonts w:cs="Arial"/>
          <w:szCs w:val="22"/>
        </w:rPr>
        <w:t>will insurance coverage</w:t>
      </w:r>
      <w:r w:rsidR="007226B1" w:rsidRPr="00B06835">
        <w:rPr>
          <w:rFonts w:cs="Arial"/>
          <w:szCs w:val="22"/>
        </w:rPr>
        <w:t xml:space="preserve"> be continued beyond the period covered by severance or six (6) months past the employee’s date of termination, whichever is longer. </w:t>
      </w:r>
    </w:p>
    <w:p w14:paraId="40A67D37" w14:textId="77777777" w:rsidR="007226B1" w:rsidRPr="00B06835" w:rsidRDefault="007226B1" w:rsidP="00B06835">
      <w:pPr>
        <w:pStyle w:val="BodyText"/>
        <w:tabs>
          <w:tab w:val="left" w:pos="450"/>
          <w:tab w:val="num" w:pos="720"/>
        </w:tabs>
        <w:spacing w:after="0" w:line="300" w:lineRule="exact"/>
        <w:rPr>
          <w:rFonts w:cs="Arial"/>
          <w:szCs w:val="22"/>
        </w:rPr>
      </w:pPr>
    </w:p>
    <w:p w14:paraId="4E1E8EFB" w14:textId="77777777" w:rsidR="007226B1" w:rsidRPr="00B06835" w:rsidRDefault="007226B1" w:rsidP="005164E0">
      <w:pPr>
        <w:pStyle w:val="BodyText"/>
        <w:numPr>
          <w:ilvl w:val="0"/>
          <w:numId w:val="36"/>
        </w:numPr>
        <w:tabs>
          <w:tab w:val="left" w:pos="450"/>
        </w:tabs>
        <w:spacing w:after="0" w:line="300" w:lineRule="exact"/>
        <w:rPr>
          <w:rFonts w:cs="Arial"/>
          <w:szCs w:val="22"/>
        </w:rPr>
      </w:pPr>
      <w:r w:rsidRPr="00B06835">
        <w:rPr>
          <w:rFonts w:cs="Arial"/>
          <w:szCs w:val="22"/>
        </w:rPr>
        <w:t>You will receive a COBRA Notification Letter in the mail within 14 days of your last day worked that will provide details of the steps to be followed to continue coverage beyond what was described above.</w:t>
      </w:r>
    </w:p>
    <w:p w14:paraId="518CE917" w14:textId="77777777" w:rsidR="007226B1" w:rsidRPr="00B06835" w:rsidRDefault="007226B1" w:rsidP="005164E0">
      <w:pPr>
        <w:pStyle w:val="BodyText"/>
        <w:numPr>
          <w:ilvl w:val="0"/>
          <w:numId w:val="36"/>
        </w:numPr>
        <w:tabs>
          <w:tab w:val="left" w:pos="450"/>
        </w:tabs>
        <w:spacing w:after="0" w:line="300" w:lineRule="exact"/>
        <w:rPr>
          <w:rFonts w:cs="Arial"/>
          <w:szCs w:val="22"/>
        </w:rPr>
      </w:pPr>
      <w:r w:rsidRPr="00B06835">
        <w:rPr>
          <w:rFonts w:cs="Arial"/>
          <w:szCs w:val="22"/>
        </w:rPr>
        <w:t xml:space="preserve">The payroll deductions customarily made for dependent or shared cost benefits will be made from severance pay.  Upon expiration of severance pay the employee may continue coverage for the remaining balance of the six (6) month period by remitting to </w:t>
      </w:r>
      <w:r w:rsidR="00DF147A" w:rsidRPr="00B06835">
        <w:rPr>
          <w:rFonts w:cs="Arial"/>
          <w:szCs w:val="22"/>
        </w:rPr>
        <w:t>t</w:t>
      </w:r>
      <w:r w:rsidR="005C2EA4" w:rsidRPr="00B06835">
        <w:rPr>
          <w:rFonts w:cs="Arial"/>
          <w:szCs w:val="22"/>
        </w:rPr>
        <w:t>he Company</w:t>
      </w:r>
      <w:r w:rsidRPr="00B06835">
        <w:rPr>
          <w:rFonts w:cs="Arial"/>
          <w:szCs w:val="22"/>
        </w:rPr>
        <w:t xml:space="preserve"> a monthly premium as determined by the </w:t>
      </w:r>
      <w:r w:rsidR="00DF147A" w:rsidRPr="00B06835">
        <w:rPr>
          <w:rFonts w:cs="Arial"/>
          <w:szCs w:val="22"/>
        </w:rPr>
        <w:t>C</w:t>
      </w:r>
      <w:r w:rsidRPr="00B06835">
        <w:rPr>
          <w:rFonts w:cs="Arial"/>
          <w:szCs w:val="22"/>
        </w:rPr>
        <w:t>ompany.</w:t>
      </w:r>
    </w:p>
    <w:p w14:paraId="25D70607" w14:textId="77777777" w:rsidR="007226B1" w:rsidRPr="00B06835" w:rsidRDefault="007226B1" w:rsidP="005164E0">
      <w:pPr>
        <w:pStyle w:val="BodyText"/>
        <w:tabs>
          <w:tab w:val="left" w:pos="450"/>
        </w:tabs>
        <w:spacing w:after="0" w:line="300" w:lineRule="exact"/>
        <w:ind w:left="0"/>
        <w:rPr>
          <w:rFonts w:cs="Arial"/>
          <w:szCs w:val="22"/>
        </w:rPr>
      </w:pPr>
    </w:p>
    <w:p w14:paraId="450EF8E2" w14:textId="77777777" w:rsidR="007226B1" w:rsidRPr="00B06835" w:rsidRDefault="007226B1" w:rsidP="005164E0">
      <w:pPr>
        <w:pStyle w:val="BodyText"/>
        <w:numPr>
          <w:ilvl w:val="0"/>
          <w:numId w:val="36"/>
        </w:numPr>
        <w:tabs>
          <w:tab w:val="left" w:pos="450"/>
        </w:tabs>
        <w:spacing w:after="0" w:line="300" w:lineRule="exact"/>
        <w:rPr>
          <w:rFonts w:cs="Arial"/>
          <w:szCs w:val="22"/>
        </w:rPr>
      </w:pPr>
      <w:r w:rsidRPr="00B06835">
        <w:rPr>
          <w:rFonts w:cs="Arial"/>
          <w:szCs w:val="22"/>
        </w:rPr>
        <w:t>Accrued, unused vacation credits as of the date of termination will be paid out on the date of termination.</w:t>
      </w:r>
    </w:p>
    <w:p w14:paraId="6A6ED4BC" w14:textId="77777777" w:rsidR="007226B1" w:rsidRPr="00B06835" w:rsidRDefault="007226B1" w:rsidP="005164E0">
      <w:pPr>
        <w:pStyle w:val="BodyText"/>
        <w:tabs>
          <w:tab w:val="left" w:pos="450"/>
        </w:tabs>
        <w:spacing w:after="0" w:line="300" w:lineRule="exact"/>
        <w:ind w:left="0"/>
        <w:rPr>
          <w:rFonts w:cs="Arial"/>
          <w:szCs w:val="22"/>
        </w:rPr>
      </w:pPr>
    </w:p>
    <w:p w14:paraId="38E419F2" w14:textId="77777777" w:rsidR="007226B1" w:rsidRPr="00B06835" w:rsidRDefault="005C2EA4" w:rsidP="005164E0">
      <w:pPr>
        <w:pStyle w:val="BodyText"/>
        <w:numPr>
          <w:ilvl w:val="0"/>
          <w:numId w:val="36"/>
        </w:numPr>
        <w:tabs>
          <w:tab w:val="left" w:pos="450"/>
        </w:tabs>
        <w:spacing w:after="0" w:line="300" w:lineRule="exact"/>
        <w:rPr>
          <w:rFonts w:cs="Arial"/>
          <w:szCs w:val="22"/>
        </w:rPr>
      </w:pPr>
      <w:r w:rsidRPr="00B06835">
        <w:rPr>
          <w:rFonts w:cs="Arial"/>
          <w:szCs w:val="22"/>
        </w:rPr>
        <w:t>The Company</w:t>
      </w:r>
      <w:r w:rsidR="007226B1" w:rsidRPr="00B06835">
        <w:rPr>
          <w:rFonts w:cs="Arial"/>
          <w:szCs w:val="22"/>
        </w:rPr>
        <w:t xml:space="preserve"> Profit Sharing Plan will cease upon the employee’s date of termination.</w:t>
      </w:r>
    </w:p>
    <w:p w14:paraId="21C4371A" w14:textId="77777777" w:rsidR="007226B1" w:rsidRPr="00B06835" w:rsidRDefault="007226B1" w:rsidP="00B06835">
      <w:pPr>
        <w:pStyle w:val="BodyText"/>
        <w:tabs>
          <w:tab w:val="left" w:pos="450"/>
        </w:tabs>
        <w:spacing w:after="0" w:line="300" w:lineRule="exact"/>
        <w:ind w:left="0"/>
        <w:rPr>
          <w:rFonts w:cs="Arial"/>
          <w:szCs w:val="22"/>
        </w:rPr>
      </w:pPr>
    </w:p>
    <w:p w14:paraId="7F82A048" w14:textId="4AD8CC25" w:rsidR="007226B1" w:rsidRPr="005164E0" w:rsidRDefault="007226B1" w:rsidP="00B06835">
      <w:pPr>
        <w:pStyle w:val="BodyText"/>
        <w:tabs>
          <w:tab w:val="left" w:pos="450"/>
        </w:tabs>
        <w:spacing w:after="0" w:line="300" w:lineRule="exact"/>
        <w:ind w:left="0"/>
        <w:rPr>
          <w:rFonts w:cs="Arial"/>
          <w:b/>
          <w:szCs w:val="22"/>
          <w:u w:val="single"/>
        </w:rPr>
      </w:pPr>
      <w:r w:rsidRPr="005164E0">
        <w:rPr>
          <w:rFonts w:cs="Arial"/>
          <w:b/>
          <w:szCs w:val="22"/>
          <w:u w:val="single"/>
        </w:rPr>
        <w:t>P</w:t>
      </w:r>
      <w:r w:rsidR="005164E0" w:rsidRPr="005164E0">
        <w:rPr>
          <w:rFonts w:cs="Arial"/>
          <w:b/>
          <w:szCs w:val="22"/>
          <w:u w:val="single"/>
        </w:rPr>
        <w:t>rocedures</w:t>
      </w:r>
    </w:p>
    <w:p w14:paraId="514BE111" w14:textId="77777777" w:rsidR="007226B1" w:rsidRPr="00B06835" w:rsidRDefault="007226B1" w:rsidP="00B06835">
      <w:pPr>
        <w:pStyle w:val="BodyText"/>
        <w:numPr>
          <w:ilvl w:val="0"/>
          <w:numId w:val="30"/>
        </w:numPr>
        <w:spacing w:after="0" w:line="300" w:lineRule="exact"/>
        <w:ind w:left="360"/>
        <w:rPr>
          <w:rFonts w:cs="Arial"/>
          <w:szCs w:val="22"/>
        </w:rPr>
      </w:pPr>
      <w:r w:rsidRPr="00B06835">
        <w:rPr>
          <w:rFonts w:cs="Arial"/>
          <w:szCs w:val="22"/>
        </w:rPr>
        <w:t>Responsibilities</w:t>
      </w:r>
    </w:p>
    <w:p w14:paraId="67062D34" w14:textId="77777777" w:rsidR="007226B1" w:rsidRPr="00B06835" w:rsidRDefault="007226B1" w:rsidP="005164E0">
      <w:pPr>
        <w:pStyle w:val="BodyText"/>
        <w:numPr>
          <w:ilvl w:val="0"/>
          <w:numId w:val="36"/>
        </w:numPr>
        <w:tabs>
          <w:tab w:val="left" w:pos="450"/>
        </w:tabs>
        <w:spacing w:after="0" w:line="300" w:lineRule="exact"/>
        <w:rPr>
          <w:rFonts w:cs="Arial"/>
          <w:szCs w:val="22"/>
        </w:rPr>
      </w:pPr>
      <w:r w:rsidRPr="00B06835">
        <w:rPr>
          <w:rFonts w:cs="Arial"/>
          <w:szCs w:val="22"/>
        </w:rPr>
        <w:t>The Human Resources Department will calculate severance benefits and prepare the supporting communication packets.</w:t>
      </w:r>
    </w:p>
    <w:p w14:paraId="73011089" w14:textId="77777777" w:rsidR="007226B1" w:rsidRPr="00B06835" w:rsidRDefault="007226B1" w:rsidP="005164E0">
      <w:pPr>
        <w:pStyle w:val="BodyText"/>
        <w:tabs>
          <w:tab w:val="left" w:pos="450"/>
        </w:tabs>
        <w:spacing w:after="0" w:line="300" w:lineRule="exact"/>
        <w:ind w:left="0"/>
        <w:rPr>
          <w:rFonts w:cs="Arial"/>
          <w:szCs w:val="22"/>
        </w:rPr>
      </w:pPr>
    </w:p>
    <w:p w14:paraId="0AE44026" w14:textId="40F67353" w:rsidR="007226B1" w:rsidRPr="00B06835" w:rsidRDefault="007226B1" w:rsidP="005164E0">
      <w:pPr>
        <w:pStyle w:val="BodyText"/>
        <w:numPr>
          <w:ilvl w:val="0"/>
          <w:numId w:val="36"/>
        </w:numPr>
        <w:tabs>
          <w:tab w:val="left" w:pos="450"/>
        </w:tabs>
        <w:spacing w:after="0" w:line="300" w:lineRule="exact"/>
        <w:rPr>
          <w:rFonts w:cs="Arial"/>
          <w:szCs w:val="22"/>
        </w:rPr>
      </w:pPr>
      <w:r w:rsidRPr="00B06835">
        <w:rPr>
          <w:rFonts w:cs="Arial"/>
          <w:szCs w:val="22"/>
        </w:rPr>
        <w:t xml:space="preserve">The supervisor or manager of the </w:t>
      </w:r>
      <w:r w:rsidR="000752C6" w:rsidRPr="00B06835">
        <w:rPr>
          <w:rFonts w:cs="Arial"/>
          <w:szCs w:val="22"/>
        </w:rPr>
        <w:t>a</w:t>
      </w:r>
      <w:r w:rsidRPr="00B06835">
        <w:rPr>
          <w:rFonts w:cs="Arial"/>
          <w:szCs w:val="22"/>
        </w:rPr>
        <w:t>ffected employee(s) will be responsible for direct communication with the terminated employee(s).</w:t>
      </w:r>
    </w:p>
    <w:p w14:paraId="717DA654" w14:textId="77777777" w:rsidR="007226B1" w:rsidRPr="00B06835" w:rsidRDefault="007226B1" w:rsidP="005164E0">
      <w:pPr>
        <w:pStyle w:val="BodyText"/>
        <w:tabs>
          <w:tab w:val="left" w:pos="450"/>
        </w:tabs>
        <w:spacing w:after="0" w:line="300" w:lineRule="exact"/>
        <w:ind w:left="0"/>
        <w:rPr>
          <w:rFonts w:cs="Arial"/>
          <w:szCs w:val="22"/>
        </w:rPr>
      </w:pPr>
    </w:p>
    <w:p w14:paraId="7C62CB04" w14:textId="76888778" w:rsidR="007226B1" w:rsidRPr="00B06835" w:rsidRDefault="000752C6" w:rsidP="005164E0">
      <w:pPr>
        <w:pStyle w:val="BodyText"/>
        <w:numPr>
          <w:ilvl w:val="0"/>
          <w:numId w:val="36"/>
        </w:numPr>
        <w:tabs>
          <w:tab w:val="left" w:pos="450"/>
        </w:tabs>
        <w:spacing w:after="0" w:line="300" w:lineRule="exact"/>
        <w:rPr>
          <w:rFonts w:cs="Arial"/>
          <w:szCs w:val="22"/>
        </w:rPr>
      </w:pPr>
      <w:r w:rsidRPr="00B06835">
        <w:rPr>
          <w:rFonts w:cs="Arial"/>
          <w:szCs w:val="22"/>
        </w:rPr>
        <w:t>A</w:t>
      </w:r>
      <w:r w:rsidR="007226B1" w:rsidRPr="00B06835">
        <w:rPr>
          <w:rFonts w:cs="Arial"/>
          <w:szCs w:val="22"/>
        </w:rPr>
        <w:t xml:space="preserve">ffected employees </w:t>
      </w:r>
      <w:r w:rsidR="00B244D5" w:rsidRPr="00B06835">
        <w:rPr>
          <w:rFonts w:cs="Arial"/>
          <w:szCs w:val="22"/>
        </w:rPr>
        <w:t xml:space="preserve">are required to </w:t>
      </w:r>
      <w:r w:rsidR="007226B1" w:rsidRPr="00B06835">
        <w:rPr>
          <w:rFonts w:cs="Arial"/>
          <w:szCs w:val="22"/>
        </w:rPr>
        <w:t>complete and return a certificate of eligibility to the Human Resource Department by the designated deadline in order to qualify for severance compensation and/or benefit continuation.</w:t>
      </w:r>
    </w:p>
    <w:p w14:paraId="751344DF" w14:textId="77777777" w:rsidR="007226B1" w:rsidRPr="00B06835" w:rsidRDefault="007226B1" w:rsidP="00B06835">
      <w:pPr>
        <w:pStyle w:val="BodyText"/>
        <w:tabs>
          <w:tab w:val="left" w:pos="450"/>
        </w:tabs>
        <w:spacing w:after="0" w:line="300" w:lineRule="exact"/>
        <w:ind w:left="0"/>
        <w:rPr>
          <w:rFonts w:cs="Arial"/>
          <w:szCs w:val="22"/>
        </w:rPr>
      </w:pPr>
    </w:p>
    <w:p w14:paraId="7F4618EB" w14:textId="77777777" w:rsidR="007226B1" w:rsidRPr="00B06835" w:rsidRDefault="007226B1" w:rsidP="00B06835">
      <w:pPr>
        <w:pStyle w:val="BodyText"/>
        <w:numPr>
          <w:ilvl w:val="0"/>
          <w:numId w:val="30"/>
        </w:numPr>
        <w:spacing w:after="0" w:line="300" w:lineRule="exact"/>
        <w:ind w:left="360"/>
        <w:rPr>
          <w:rFonts w:cs="Arial"/>
          <w:szCs w:val="22"/>
        </w:rPr>
      </w:pPr>
      <w:r w:rsidRPr="00B06835">
        <w:rPr>
          <w:rFonts w:cs="Arial"/>
          <w:szCs w:val="22"/>
        </w:rPr>
        <w:t>Interpretations and Exceptions</w:t>
      </w:r>
    </w:p>
    <w:p w14:paraId="3F36DD97" w14:textId="5F0544C5" w:rsidR="007226B1" w:rsidRPr="00B06835" w:rsidRDefault="007226B1" w:rsidP="005164E0">
      <w:pPr>
        <w:pStyle w:val="BodyText"/>
        <w:numPr>
          <w:ilvl w:val="0"/>
          <w:numId w:val="36"/>
        </w:numPr>
        <w:tabs>
          <w:tab w:val="left" w:pos="450"/>
        </w:tabs>
        <w:spacing w:after="0" w:line="300" w:lineRule="exact"/>
        <w:rPr>
          <w:rFonts w:cs="Arial"/>
          <w:szCs w:val="22"/>
        </w:rPr>
      </w:pPr>
      <w:r w:rsidRPr="00B06835">
        <w:rPr>
          <w:rFonts w:cs="Arial"/>
          <w:szCs w:val="22"/>
        </w:rPr>
        <w:t xml:space="preserve">Payments pursuant to this plan can be terminated at any time by </w:t>
      </w:r>
      <w:r w:rsidR="005F6712" w:rsidRPr="00B06835">
        <w:rPr>
          <w:rFonts w:cs="Arial"/>
          <w:szCs w:val="22"/>
        </w:rPr>
        <w:t>t</w:t>
      </w:r>
      <w:r w:rsidR="005C2EA4" w:rsidRPr="00B06835">
        <w:rPr>
          <w:rFonts w:cs="Arial"/>
          <w:szCs w:val="22"/>
        </w:rPr>
        <w:t>he Company</w:t>
      </w:r>
      <w:r w:rsidR="00DF147A" w:rsidRPr="00B06835">
        <w:rPr>
          <w:rFonts w:cs="Arial"/>
          <w:szCs w:val="22"/>
        </w:rPr>
        <w:t>.</w:t>
      </w:r>
      <w:r w:rsidRPr="00B06835">
        <w:rPr>
          <w:rFonts w:cs="Arial"/>
          <w:szCs w:val="22"/>
        </w:rPr>
        <w:t xml:space="preserve">  Eligibility for severance allowance and interpretation of the provisions of this Policy </w:t>
      </w:r>
      <w:r w:rsidR="004271B2" w:rsidRPr="00B06835">
        <w:rPr>
          <w:rFonts w:cs="Arial"/>
          <w:szCs w:val="22"/>
        </w:rPr>
        <w:t xml:space="preserve">will </w:t>
      </w:r>
      <w:r w:rsidRPr="00B06835">
        <w:rPr>
          <w:rFonts w:cs="Arial"/>
          <w:szCs w:val="22"/>
        </w:rPr>
        <w:t xml:space="preserve">be at the sole discretion and option of the Department Manager and Director of Human Resources.  The terms of this Policy and/or the actions of said Department Manager or Director of Human Resources </w:t>
      </w:r>
      <w:r w:rsidR="00B244D5" w:rsidRPr="00B06835">
        <w:rPr>
          <w:rFonts w:cs="Arial"/>
          <w:szCs w:val="22"/>
        </w:rPr>
        <w:t xml:space="preserve">do </w:t>
      </w:r>
      <w:r w:rsidRPr="00B06835">
        <w:rPr>
          <w:rFonts w:cs="Arial"/>
          <w:szCs w:val="22"/>
        </w:rPr>
        <w:t>not give any employee any vested right to any payment on account of severance.</w:t>
      </w:r>
    </w:p>
    <w:p w14:paraId="36DFCB30" w14:textId="77777777" w:rsidR="007226B1" w:rsidRPr="00DD510A" w:rsidRDefault="007226B1">
      <w:pPr>
        <w:pStyle w:val="BodyText"/>
        <w:tabs>
          <w:tab w:val="left" w:pos="450"/>
        </w:tabs>
        <w:ind w:left="0"/>
        <w:rPr>
          <w:rFonts w:cs="Arial"/>
        </w:rPr>
      </w:pPr>
    </w:p>
    <w:p w14:paraId="4282C867" w14:textId="77777777" w:rsidR="00F00457" w:rsidRPr="00DD510A" w:rsidRDefault="00F00457" w:rsidP="00F00457">
      <w:pPr>
        <w:pStyle w:val="BodyText"/>
        <w:tabs>
          <w:tab w:val="left" w:pos="6768"/>
        </w:tabs>
        <w:ind w:left="0"/>
        <w:rPr>
          <w:rFonts w:cs="Arial"/>
        </w:rPr>
      </w:pPr>
      <w:r w:rsidRPr="00DD510A">
        <w:rPr>
          <w:rFonts w:cs="Arial"/>
        </w:rPr>
        <w:tab/>
      </w:r>
    </w:p>
    <w:p w14:paraId="2E4EFAB3" w14:textId="77777777" w:rsidR="00F00457" w:rsidRPr="00DD510A" w:rsidRDefault="00F00457">
      <w:pPr>
        <w:pStyle w:val="BodyText"/>
        <w:tabs>
          <w:tab w:val="left" w:pos="450"/>
        </w:tabs>
        <w:ind w:left="0"/>
        <w:rPr>
          <w:rFonts w:cs="Arial"/>
        </w:rPr>
      </w:pPr>
    </w:p>
    <w:p w14:paraId="26F4725B" w14:textId="77777777" w:rsidR="00F00457" w:rsidRPr="00DD510A" w:rsidRDefault="00F00457">
      <w:pPr>
        <w:pStyle w:val="BodyText"/>
        <w:tabs>
          <w:tab w:val="left" w:pos="450"/>
        </w:tabs>
        <w:ind w:left="0"/>
        <w:rPr>
          <w:rFonts w:cs="Arial"/>
        </w:rPr>
      </w:pPr>
    </w:p>
    <w:p w14:paraId="0AD3D1EC" w14:textId="77777777" w:rsidR="00F00457" w:rsidRPr="00DD510A" w:rsidRDefault="00F00457">
      <w:pPr>
        <w:pStyle w:val="BodyText"/>
        <w:tabs>
          <w:tab w:val="left" w:pos="450"/>
        </w:tabs>
        <w:ind w:left="0"/>
        <w:rPr>
          <w:rFonts w:cs="Arial"/>
        </w:rPr>
      </w:pPr>
    </w:p>
    <w:p w14:paraId="7B28FB6F" w14:textId="77777777" w:rsidR="00F00457" w:rsidRPr="00DD510A" w:rsidRDefault="00F00457">
      <w:pPr>
        <w:pStyle w:val="BodyText"/>
        <w:tabs>
          <w:tab w:val="left" w:pos="450"/>
        </w:tabs>
        <w:ind w:left="0"/>
        <w:rPr>
          <w:rFonts w:cs="Arial"/>
        </w:rPr>
      </w:pPr>
    </w:p>
    <w:p w14:paraId="6E42D412" w14:textId="77777777" w:rsidR="00F00457" w:rsidRPr="00DD510A" w:rsidRDefault="00F00457">
      <w:pPr>
        <w:pStyle w:val="BodyText"/>
        <w:tabs>
          <w:tab w:val="left" w:pos="450"/>
        </w:tabs>
        <w:ind w:left="0"/>
        <w:rPr>
          <w:rFonts w:cs="Arial"/>
        </w:rPr>
      </w:pPr>
    </w:p>
    <w:p w14:paraId="14CEB565" w14:textId="77777777" w:rsidR="00F00457" w:rsidRPr="00DD510A" w:rsidRDefault="00F00457">
      <w:pPr>
        <w:pStyle w:val="BodyText"/>
        <w:tabs>
          <w:tab w:val="left" w:pos="450"/>
        </w:tabs>
        <w:ind w:left="0"/>
        <w:rPr>
          <w:rFonts w:cs="Arial"/>
        </w:rPr>
      </w:pPr>
    </w:p>
    <w:p w14:paraId="5911AB19" w14:textId="77777777" w:rsidR="00F00457" w:rsidRPr="00DD510A" w:rsidRDefault="00F00457">
      <w:pPr>
        <w:pStyle w:val="BodyText"/>
        <w:tabs>
          <w:tab w:val="left" w:pos="450"/>
        </w:tabs>
        <w:ind w:left="0"/>
        <w:rPr>
          <w:rFonts w:cs="Arial"/>
        </w:rPr>
      </w:pPr>
    </w:p>
    <w:p w14:paraId="15DDBBE5" w14:textId="77777777" w:rsidR="00F00457" w:rsidRPr="00DD510A" w:rsidRDefault="00F00457">
      <w:pPr>
        <w:pStyle w:val="BodyText"/>
        <w:tabs>
          <w:tab w:val="left" w:pos="450"/>
        </w:tabs>
        <w:ind w:left="0"/>
        <w:rPr>
          <w:rFonts w:cs="Arial"/>
        </w:rPr>
      </w:pPr>
    </w:p>
    <w:p w14:paraId="767E038D" w14:textId="682C173A" w:rsidR="00F00457" w:rsidRPr="00DD510A" w:rsidRDefault="00B244D5" w:rsidP="00F00457">
      <w:pPr>
        <w:pStyle w:val="BodyText"/>
        <w:tabs>
          <w:tab w:val="left" w:pos="450"/>
        </w:tabs>
        <w:ind w:left="0"/>
        <w:jc w:val="right"/>
        <w:rPr>
          <w:rFonts w:cs="Arial"/>
          <w:sz w:val="18"/>
        </w:rPr>
      </w:pPr>
      <w:r>
        <w:rPr>
          <w:rFonts w:cs="Arial"/>
          <w:sz w:val="18"/>
        </w:rPr>
        <w:t>1/2022</w:t>
      </w:r>
    </w:p>
    <w:sectPr w:rsidR="00F00457" w:rsidRPr="00DD510A" w:rsidSect="00B06835">
      <w:headerReference w:type="default" r:id="rId9"/>
      <w:footerReference w:type="even" r:id="rId10"/>
      <w:footerReference w:type="default" r:id="rId11"/>
      <w:footerReference w:type="first" r:id="rId12"/>
      <w:footnotePr>
        <w:numRestart w:val="eachPage"/>
      </w:footnotePr>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4186A" w14:textId="77777777" w:rsidR="001802A2" w:rsidRDefault="001802A2">
      <w:r>
        <w:separator/>
      </w:r>
    </w:p>
  </w:endnote>
  <w:endnote w:type="continuationSeparator" w:id="0">
    <w:p w14:paraId="165F0DE0" w14:textId="77777777" w:rsidR="001802A2" w:rsidRDefault="0018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EC99" w14:textId="77777777" w:rsidR="007226B1" w:rsidRDefault="007226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6798ED" w14:textId="77777777" w:rsidR="007226B1" w:rsidRDefault="00722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984C" w14:textId="77777777" w:rsidR="00B06835" w:rsidRPr="00B06835" w:rsidRDefault="00B06835" w:rsidP="005164E0">
    <w:pPr>
      <w:pStyle w:val="Footer"/>
      <w:pBdr>
        <w:top w:val="none" w:sz="0" w:space="0" w:color="auto"/>
      </w:pBdr>
      <w:ind w:left="0"/>
      <w:rPr>
        <w:rFonts w:cs="Arial"/>
        <w:b w:val="0"/>
        <w:spacing w:val="0"/>
        <w:sz w:val="20"/>
      </w:rPr>
    </w:pPr>
    <w:r w:rsidRPr="00B06835">
      <w:rPr>
        <w:rFonts w:cs="Arial"/>
        <w:b w:val="0"/>
        <w:spacing w:val="0"/>
        <w:sz w:val="20"/>
      </w:rPr>
      <w:t>© CASCADE EMPLOYERS ASSOCIATION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80D9" w14:textId="77777777" w:rsidR="00997BC4" w:rsidRPr="00997BC4" w:rsidRDefault="00997BC4" w:rsidP="00997BC4">
    <w:pPr>
      <w:pStyle w:val="Footer"/>
      <w:pBdr>
        <w:top w:val="none" w:sz="0" w:space="0" w:color="auto"/>
      </w:pBdr>
      <w:ind w:left="0"/>
      <w:rPr>
        <w:rFonts w:ascii="Garamond" w:hAnsi="Garamond"/>
        <w:b w:val="0"/>
        <w:sz w:val="20"/>
      </w:rPr>
    </w:pPr>
    <w:r w:rsidRPr="00997BC4">
      <w:rPr>
        <w:rFonts w:ascii="Garamond" w:hAnsi="Garamond"/>
        <w:b w:val="0"/>
        <w:sz w:val="20"/>
      </w:rPr>
      <w:t>©CASCADE EMPLOYERS ASSOCIATION</w:t>
    </w:r>
  </w:p>
  <w:p w14:paraId="3CC3D202" w14:textId="77777777" w:rsidR="007226B1" w:rsidRPr="00997BC4" w:rsidRDefault="007226B1" w:rsidP="00997BC4">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13850" w14:textId="77777777" w:rsidR="001802A2" w:rsidRDefault="001802A2">
      <w:r>
        <w:separator/>
      </w:r>
    </w:p>
  </w:footnote>
  <w:footnote w:type="continuationSeparator" w:id="0">
    <w:p w14:paraId="6A62936D" w14:textId="77777777" w:rsidR="001802A2" w:rsidRDefault="00180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0895" w14:textId="77777777" w:rsidR="00997BC4" w:rsidRDefault="00997BC4" w:rsidP="00997BC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8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37A12"/>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7510F8"/>
    <w:multiLevelType w:val="hybridMultilevel"/>
    <w:tmpl w:val="612064DA"/>
    <w:lvl w:ilvl="0" w:tplc="F3BC28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17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97299"/>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1D71A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DEB21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1A0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291BBA"/>
    <w:multiLevelType w:val="hybridMultilevel"/>
    <w:tmpl w:val="CA8A9D42"/>
    <w:lvl w:ilvl="0" w:tplc="94F4FDB4">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C3D8B"/>
    <w:multiLevelType w:val="hybridMultilevel"/>
    <w:tmpl w:val="5A48E2B8"/>
    <w:lvl w:ilvl="0" w:tplc="F86AB7B0">
      <w:start w:val="1"/>
      <w:numFmt w:val="upp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A100EC1"/>
    <w:multiLevelType w:val="singleLevel"/>
    <w:tmpl w:val="8214970A"/>
    <w:lvl w:ilvl="0">
      <w:start w:val="1"/>
      <w:numFmt w:val="upperLetter"/>
      <w:lvlText w:val="%1)"/>
      <w:lvlJc w:val="left"/>
      <w:pPr>
        <w:tabs>
          <w:tab w:val="num" w:pos="270"/>
        </w:tabs>
        <w:ind w:left="270" w:hanging="360"/>
      </w:pPr>
      <w:rPr>
        <w:rFonts w:hint="default"/>
      </w:rPr>
    </w:lvl>
  </w:abstractNum>
  <w:abstractNum w:abstractNumId="11" w15:restartNumberingAfterBreak="0">
    <w:nsid w:val="1DF4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1540C0"/>
    <w:multiLevelType w:val="singleLevel"/>
    <w:tmpl w:val="974A6C74"/>
    <w:lvl w:ilvl="0">
      <w:start w:val="1"/>
      <w:numFmt w:val="upperLetter"/>
      <w:lvlText w:val="%1)"/>
      <w:lvlJc w:val="left"/>
      <w:pPr>
        <w:tabs>
          <w:tab w:val="num" w:pos="270"/>
        </w:tabs>
        <w:ind w:left="270" w:hanging="360"/>
      </w:pPr>
      <w:rPr>
        <w:rFonts w:hint="default"/>
      </w:rPr>
    </w:lvl>
  </w:abstractNum>
  <w:abstractNum w:abstractNumId="13" w15:restartNumberingAfterBreak="0">
    <w:nsid w:val="218512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195494"/>
    <w:multiLevelType w:val="hybridMultilevel"/>
    <w:tmpl w:val="10C0F1E6"/>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B0163"/>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8A446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4717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2C5041"/>
    <w:multiLevelType w:val="singleLevel"/>
    <w:tmpl w:val="7460E99A"/>
    <w:lvl w:ilvl="0">
      <w:start w:val="2"/>
      <w:numFmt w:val="bullet"/>
      <w:lvlText w:val="-"/>
      <w:lvlJc w:val="left"/>
      <w:pPr>
        <w:tabs>
          <w:tab w:val="num" w:pos="360"/>
        </w:tabs>
        <w:ind w:left="360" w:hanging="360"/>
      </w:pPr>
      <w:rPr>
        <w:rFonts w:hint="default"/>
      </w:rPr>
    </w:lvl>
  </w:abstractNum>
  <w:abstractNum w:abstractNumId="19" w15:restartNumberingAfterBreak="0">
    <w:nsid w:val="303F260F"/>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43F03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D86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C97D6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9870753"/>
    <w:multiLevelType w:val="hybridMultilevel"/>
    <w:tmpl w:val="55ECAD22"/>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A58C7"/>
    <w:multiLevelType w:val="hybridMultilevel"/>
    <w:tmpl w:val="7398ED3E"/>
    <w:lvl w:ilvl="0" w:tplc="076C391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E713B"/>
    <w:multiLevelType w:val="singleLevel"/>
    <w:tmpl w:val="7460E99A"/>
    <w:lvl w:ilvl="0">
      <w:start w:val="2"/>
      <w:numFmt w:val="bullet"/>
      <w:lvlText w:val="-"/>
      <w:lvlJc w:val="left"/>
      <w:pPr>
        <w:tabs>
          <w:tab w:val="num" w:pos="360"/>
        </w:tabs>
        <w:ind w:left="360" w:hanging="360"/>
      </w:pPr>
      <w:rPr>
        <w:rFonts w:hint="default"/>
      </w:rPr>
    </w:lvl>
  </w:abstractNum>
  <w:abstractNum w:abstractNumId="26" w15:restartNumberingAfterBreak="0">
    <w:nsid w:val="53DB52B6"/>
    <w:multiLevelType w:val="hybridMultilevel"/>
    <w:tmpl w:val="BD9E0DDA"/>
    <w:lvl w:ilvl="0" w:tplc="076C391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8607A"/>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1D48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FA72CE"/>
    <w:multiLevelType w:val="hybridMultilevel"/>
    <w:tmpl w:val="255812D6"/>
    <w:lvl w:ilvl="0" w:tplc="04090015">
      <w:start w:val="1"/>
      <w:numFmt w:val="upp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67C36F77"/>
    <w:multiLevelType w:val="hybridMultilevel"/>
    <w:tmpl w:val="D4CC50A0"/>
    <w:lvl w:ilvl="0" w:tplc="04090015">
      <w:start w:val="1"/>
      <w:numFmt w:val="upp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6EC5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4D54C4"/>
    <w:multiLevelType w:val="singleLevel"/>
    <w:tmpl w:val="16AAFA7C"/>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9B6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0A7747"/>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C9117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314C3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34"/>
  </w:num>
  <w:num w:numId="3">
    <w:abstractNumId w:val="19"/>
  </w:num>
  <w:num w:numId="4">
    <w:abstractNumId w:val="25"/>
  </w:num>
  <w:num w:numId="5">
    <w:abstractNumId w:val="18"/>
  </w:num>
  <w:num w:numId="6">
    <w:abstractNumId w:val="5"/>
  </w:num>
  <w:num w:numId="7">
    <w:abstractNumId w:val="10"/>
  </w:num>
  <w:num w:numId="8">
    <w:abstractNumId w:val="36"/>
  </w:num>
  <w:num w:numId="9">
    <w:abstractNumId w:val="13"/>
  </w:num>
  <w:num w:numId="10">
    <w:abstractNumId w:val="17"/>
  </w:num>
  <w:num w:numId="11">
    <w:abstractNumId w:val="7"/>
  </w:num>
  <w:num w:numId="12">
    <w:abstractNumId w:val="15"/>
  </w:num>
  <w:num w:numId="13">
    <w:abstractNumId w:val="31"/>
  </w:num>
  <w:num w:numId="14">
    <w:abstractNumId w:val="6"/>
  </w:num>
  <w:num w:numId="15">
    <w:abstractNumId w:val="0"/>
  </w:num>
  <w:num w:numId="16">
    <w:abstractNumId w:val="3"/>
  </w:num>
  <w:num w:numId="17">
    <w:abstractNumId w:val="12"/>
  </w:num>
  <w:num w:numId="18">
    <w:abstractNumId w:val="35"/>
  </w:num>
  <w:num w:numId="19">
    <w:abstractNumId w:val="11"/>
  </w:num>
  <w:num w:numId="20">
    <w:abstractNumId w:val="1"/>
  </w:num>
  <w:num w:numId="21">
    <w:abstractNumId w:val="27"/>
  </w:num>
  <w:num w:numId="22">
    <w:abstractNumId w:val="4"/>
  </w:num>
  <w:num w:numId="23">
    <w:abstractNumId w:val="20"/>
  </w:num>
  <w:num w:numId="24">
    <w:abstractNumId w:val="28"/>
  </w:num>
  <w:num w:numId="25">
    <w:abstractNumId w:val="32"/>
  </w:num>
  <w:num w:numId="26">
    <w:abstractNumId w:val="16"/>
  </w:num>
  <w:num w:numId="27">
    <w:abstractNumId w:val="21"/>
  </w:num>
  <w:num w:numId="28">
    <w:abstractNumId w:val="33"/>
  </w:num>
  <w:num w:numId="29">
    <w:abstractNumId w:val="2"/>
  </w:num>
  <w:num w:numId="30">
    <w:abstractNumId w:val="29"/>
  </w:num>
  <w:num w:numId="31">
    <w:abstractNumId w:val="9"/>
  </w:num>
  <w:num w:numId="32">
    <w:abstractNumId w:val="30"/>
  </w:num>
  <w:num w:numId="33">
    <w:abstractNumId w:val="23"/>
  </w:num>
  <w:num w:numId="34">
    <w:abstractNumId w:val="14"/>
  </w:num>
  <w:num w:numId="35">
    <w:abstractNumId w:val="8"/>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B1"/>
    <w:rsid w:val="0002299A"/>
    <w:rsid w:val="000752C6"/>
    <w:rsid w:val="000D31A9"/>
    <w:rsid w:val="001802A2"/>
    <w:rsid w:val="001F1A82"/>
    <w:rsid w:val="004271B2"/>
    <w:rsid w:val="004F5C66"/>
    <w:rsid w:val="005164E0"/>
    <w:rsid w:val="005C2EA4"/>
    <w:rsid w:val="005F6712"/>
    <w:rsid w:val="00646ADB"/>
    <w:rsid w:val="006616CD"/>
    <w:rsid w:val="007226B1"/>
    <w:rsid w:val="007B1373"/>
    <w:rsid w:val="00997BC4"/>
    <w:rsid w:val="009A00BD"/>
    <w:rsid w:val="00AA4E9D"/>
    <w:rsid w:val="00B06835"/>
    <w:rsid w:val="00B244D5"/>
    <w:rsid w:val="00BB1CB9"/>
    <w:rsid w:val="00C5617F"/>
    <w:rsid w:val="00CE203A"/>
    <w:rsid w:val="00D4194F"/>
    <w:rsid w:val="00DD510A"/>
    <w:rsid w:val="00DF147A"/>
    <w:rsid w:val="00F0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E8E6CC2"/>
  <w15:chartTrackingRefBased/>
  <w15:docId w15:val="{8DFE01D3-DB71-4095-A2D9-E2461E09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pPr>
    <w:rPr>
      <w:rFonts w:ascii="Arial" w:hAnsi="Arial"/>
      <w:sz w:val="22"/>
    </w:rPr>
  </w:style>
  <w:style w:type="paragraph" w:styleId="Heading1">
    <w:name w:val="heading 1"/>
    <w:basedOn w:val="HeadingBase"/>
    <w:next w:val="BodyText"/>
    <w:qFormat/>
    <w:pPr>
      <w:pBdr>
        <w:bottom w:val="single" w:sz="6" w:space="3" w:color="auto"/>
      </w:pBdr>
      <w:outlineLvl w:val="0"/>
    </w:pPr>
    <w:rPr>
      <w:caps/>
    </w:rPr>
  </w:style>
  <w:style w:type="paragraph" w:styleId="Heading2">
    <w:name w:val="heading 2"/>
    <w:basedOn w:val="HeadingBase"/>
    <w:next w:val="BodyText"/>
    <w:qFormat/>
    <w:pPr>
      <w:spacing w:before="240" w:line="280" w:lineRule="exact"/>
      <w:outlineLvl w:val="1"/>
    </w:pPr>
  </w:style>
  <w:style w:type="paragraph" w:styleId="Heading3">
    <w:name w:val="heading 3"/>
    <w:basedOn w:val="HeadingBase"/>
    <w:next w:val="BodyText"/>
    <w:qFormat/>
    <w:pPr>
      <w:spacing w:before="240" w:line="280" w:lineRule="exact"/>
      <w:outlineLvl w:val="2"/>
    </w:pPr>
    <w:rPr>
      <w:i/>
    </w:rPr>
  </w:style>
  <w:style w:type="paragraph" w:styleId="Heading4">
    <w:name w:val="heading 4"/>
    <w:basedOn w:val="HeadingBase"/>
    <w:next w:val="BodyText"/>
    <w:qFormat/>
    <w:pPr>
      <w:spacing w:before="240" w:line="280" w:lineRule="exact"/>
      <w:outlineLvl w:val="3"/>
    </w:pPr>
    <w:rPr>
      <w:sz w:val="24"/>
    </w:rPr>
  </w:style>
  <w:style w:type="paragraph" w:styleId="Heading5">
    <w:name w:val="heading 5"/>
    <w:basedOn w:val="HeadingBase"/>
    <w:next w:val="BodyText"/>
    <w:qFormat/>
    <w:pPr>
      <w:spacing w:before="240" w:line="280" w:lineRule="exact"/>
      <w:outlineLvl w:val="4"/>
    </w:pPr>
    <w:rPr>
      <w:i/>
      <w:sz w:val="24"/>
    </w:rPr>
  </w:style>
  <w:style w:type="paragraph" w:styleId="Heading6">
    <w:name w:val="heading 6"/>
    <w:basedOn w:val="HeadingBase"/>
    <w:next w:val="BodyText"/>
    <w:qFormat/>
    <w:pPr>
      <w:spacing w:before="240" w:line="280" w:lineRule="exact"/>
      <w:outlineLvl w:val="5"/>
    </w:pPr>
    <w:rPr>
      <w:sz w:val="22"/>
    </w:rPr>
  </w:style>
  <w:style w:type="paragraph" w:styleId="Heading7">
    <w:name w:val="heading 7"/>
    <w:basedOn w:val="HeadingBase"/>
    <w:next w:val="BodyText"/>
    <w:qFormat/>
    <w:pPr>
      <w:spacing w:before="240" w:line="280" w:lineRule="exact"/>
      <w:outlineLvl w:val="6"/>
    </w:pPr>
    <w:rPr>
      <w:b w:val="0"/>
      <w:sz w:val="22"/>
    </w:rPr>
  </w:style>
  <w:style w:type="paragraph" w:styleId="Heading8">
    <w:name w:val="heading 8"/>
    <w:basedOn w:val="HeadingBase"/>
    <w:next w:val="BodyText"/>
    <w:qFormat/>
    <w:pPr>
      <w:spacing w:before="240" w:line="280" w:lineRule="exact"/>
      <w:outlineLvl w:val="7"/>
    </w:pPr>
    <w:rPr>
      <w:b w:val="0"/>
      <w:i/>
      <w:sz w:val="22"/>
    </w:rPr>
  </w:style>
  <w:style w:type="paragraph" w:styleId="Heading9">
    <w:name w:val="heading 9"/>
    <w:basedOn w:val="HeadingBase"/>
    <w:next w:val="BodyText"/>
    <w:qFormat/>
    <w:pPr>
      <w:spacing w:before="240" w:line="280" w:lineRule="exact"/>
      <w:outlineLvl w:val="8"/>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360" w:after="120" w:line="360" w:lineRule="exact"/>
      <w:ind w:left="0"/>
    </w:pPr>
    <w:rPr>
      <w:b/>
      <w:kern w:val="28"/>
      <w:sz w:val="28"/>
    </w:rPr>
  </w:style>
  <w:style w:type="paragraph" w:styleId="BodyText">
    <w:name w:val="Body Text"/>
    <w:basedOn w:val="Normal"/>
    <w:pPr>
      <w:spacing w:after="120"/>
    </w:pPr>
  </w:style>
  <w:style w:type="paragraph" w:customStyle="1" w:styleId="FootnoteBase">
    <w:name w:val="Footnote Base"/>
    <w:basedOn w:val="Normal"/>
    <w:link w:val="FootnoteBaseChar"/>
    <w:pPr>
      <w:keepLines/>
      <w:tabs>
        <w:tab w:val="left" w:pos="187"/>
      </w:tabs>
      <w:spacing w:line="220" w:lineRule="exact"/>
      <w:ind w:left="187" w:hanging="187"/>
    </w:pPr>
    <w:rPr>
      <w:sz w:val="18"/>
    </w:rPr>
  </w:style>
  <w:style w:type="paragraph" w:styleId="MessageHeader">
    <w:name w:val="Message Header"/>
    <w:basedOn w:val="BodyText"/>
    <w:pPr>
      <w:keepLines/>
      <w:tabs>
        <w:tab w:val="left" w:pos="3600"/>
        <w:tab w:val="left" w:pos="4680"/>
      </w:tabs>
      <w:ind w:left="1080" w:right="2160" w:hanging="1080"/>
    </w:pPr>
  </w:style>
  <w:style w:type="paragraph" w:customStyle="1" w:styleId="BlockQuotation">
    <w:name w:val="Block Quotation"/>
    <w:basedOn w:val="BodyText"/>
    <w:pPr>
      <w:keepLines/>
      <w:ind w:left="108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after="240"/>
    </w:pPr>
    <w:rPr>
      <w:i/>
      <w:sz w:val="20"/>
    </w:rPr>
  </w:style>
  <w:style w:type="paragraph" w:customStyle="1" w:styleId="Picture">
    <w:name w:val="Picture"/>
    <w:basedOn w:val="BodyText"/>
    <w:next w:val="Caption"/>
    <w:pPr>
      <w:keepNext/>
      <w:spacing w:before="120"/>
      <w:ind w:left="0"/>
    </w:pPr>
  </w:style>
  <w:style w:type="paragraph" w:customStyle="1" w:styleId="DocumentLabel">
    <w:name w:val="Document Label"/>
    <w:basedOn w:val="HeadingBase"/>
    <w:next w:val="BodyText"/>
    <w:pPr>
      <w:pBdr>
        <w:top w:val="single" w:sz="24" w:space="15" w:color="auto"/>
        <w:bottom w:val="single" w:sz="6" w:space="15" w:color="auto"/>
      </w:pBdr>
      <w:spacing w:before="120" w:after="240" w:line="240" w:lineRule="auto"/>
    </w:pPr>
    <w:rPr>
      <w:caps/>
      <w:spacing w:val="180"/>
      <w:sz w:val="32"/>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link w:val="FooterChar"/>
    <w:pPr>
      <w:pBdr>
        <w:top w:val="single" w:sz="6" w:space="4" w:color="auto"/>
        <w:bottom w:val="none" w:sz="0" w:space="0" w:color="auto"/>
      </w:pBdr>
      <w:tabs>
        <w:tab w:val="clear" w:pos="4320"/>
        <w:tab w:val="center" w:pos="4680"/>
      </w:tabs>
    </w:pPr>
  </w:style>
  <w:style w:type="paragraph" w:customStyle="1" w:styleId="HeaderBase">
    <w:name w:val="Header Base"/>
    <w:basedOn w:val="Normal"/>
    <w:pPr>
      <w:keepLines/>
      <w:pBdr>
        <w:bottom w:val="single" w:sz="6" w:space="4" w:color="auto"/>
      </w:pBdr>
      <w:tabs>
        <w:tab w:val="center" w:pos="4320"/>
        <w:tab w:val="right" w:pos="8640"/>
      </w:tabs>
    </w:pPr>
    <w:rPr>
      <w:b/>
      <w:caps/>
      <w:spacing w:val="20"/>
      <w:sz w:val="18"/>
    </w:rPr>
  </w:style>
  <w:style w:type="character" w:styleId="FootnoteReference">
    <w:name w:val="footnote reference"/>
    <w:semiHidden/>
    <w:rPr>
      <w:b/>
      <w:vertAlign w:val="superscript"/>
    </w:rPr>
  </w:style>
  <w:style w:type="paragraph" w:styleId="FootnoteText">
    <w:name w:val="footnote text"/>
    <w:basedOn w:val="FootnoteBase"/>
    <w:semiHidden/>
  </w:style>
  <w:style w:type="paragraph" w:styleId="Header">
    <w:name w:val="header"/>
    <w:basedOn w:val="HeaderBase"/>
    <w:link w:val="HeaderChar"/>
    <w:pPr>
      <w:ind w:left="0"/>
    </w:pPr>
  </w:style>
  <w:style w:type="character" w:customStyle="1" w:styleId="Lead-inEmphasis">
    <w:name w:val="Lead-in Emphasis"/>
    <w:rPr>
      <w:b/>
      <w:i/>
    </w:rPr>
  </w:style>
  <w:style w:type="character" w:styleId="LineNumber">
    <w:name w:val="line number"/>
    <w:rPr>
      <w:sz w:val="18"/>
    </w:rPr>
  </w:style>
  <w:style w:type="paragraph" w:styleId="List">
    <w:name w:val="List"/>
    <w:basedOn w:val="BodyText"/>
    <w:pPr>
      <w:tabs>
        <w:tab w:val="left" w:pos="1440"/>
      </w:tabs>
      <w:spacing w:after="60"/>
      <w:ind w:left="1440" w:hanging="360"/>
    </w:pPr>
  </w:style>
  <w:style w:type="paragraph" w:styleId="ListBullet">
    <w:name w:val="List Bullet"/>
    <w:basedOn w:val="List"/>
    <w:pPr>
      <w:tabs>
        <w:tab w:val="clear" w:pos="1440"/>
      </w:tabs>
      <w:spacing w:after="120"/>
    </w:pPr>
  </w:style>
  <w:style w:type="paragraph" w:styleId="ListNumber">
    <w:name w:val="List Number"/>
    <w:basedOn w:val="List"/>
    <w:pPr>
      <w:tabs>
        <w:tab w:val="clear" w:pos="1440"/>
      </w:tabs>
      <w:spacing w:after="120"/>
    </w:pPr>
  </w:style>
  <w:style w:type="paragraph" w:styleId="MacroText">
    <w:name w:val="macro"/>
    <w:basedOn w:val="BodyText"/>
    <w:semiHidden/>
    <w:pPr>
      <w:ind w:left="0"/>
    </w:pPr>
    <w:rPr>
      <w:rFonts w:ascii="Courier New" w:hAnsi="Courier New"/>
      <w:sz w:val="20"/>
    </w:rPr>
  </w:style>
  <w:style w:type="character" w:styleId="PageNumber">
    <w:name w:val="page number"/>
    <w:rPr>
      <w:b/>
    </w:rPr>
  </w:style>
  <w:style w:type="character" w:customStyle="1" w:styleId="Superscript">
    <w:name w:val="Superscript"/>
    <w:rPr>
      <w:b/>
      <w:vertAlign w:val="superscript"/>
    </w:rPr>
  </w:style>
  <w:style w:type="paragraph" w:customStyle="1" w:styleId="AttentionLine">
    <w:name w:val="Attention Line"/>
    <w:basedOn w:val="BodyText"/>
    <w:pPr>
      <w:spacing w:before="120" w:after="60"/>
      <w:ind w:left="0"/>
    </w:pPr>
    <w:rPr>
      <w:i/>
    </w:rPr>
  </w:style>
  <w:style w:type="paragraph" w:customStyle="1" w:styleId="SubjectLine">
    <w:name w:val="Subject Line"/>
    <w:basedOn w:val="BodyText"/>
    <w:next w:val="BodyText"/>
    <w:pPr>
      <w:spacing w:before="120"/>
    </w:pPr>
    <w:rPr>
      <w:b/>
      <w:i/>
    </w:rPr>
  </w:style>
  <w:style w:type="paragraph" w:customStyle="1" w:styleId="BlockQuotationFirst">
    <w:name w:val="Block Quotation First"/>
    <w:basedOn w:val="BlockQuotation"/>
    <w:next w:val="BlockQuotation"/>
    <w:pPr>
      <w:spacing w:before="60"/>
    </w:pPr>
  </w:style>
  <w:style w:type="paragraph" w:customStyle="1" w:styleId="BlockQuotationLast">
    <w:name w:val="Block Quotation Last"/>
    <w:basedOn w:val="BlockQuotation"/>
    <w:next w:val="BodyText"/>
    <w:pPr>
      <w:spacing w:after="240"/>
    </w:pPr>
  </w:style>
  <w:style w:type="paragraph" w:customStyle="1" w:styleId="FooterFirst">
    <w:name w:val="Footer First"/>
    <w:basedOn w:val="Footer"/>
    <w:pPr>
      <w:tabs>
        <w:tab w:val="clear" w:pos="8640"/>
      </w:tabs>
      <w:jc w:val="center"/>
    </w:pPr>
  </w:style>
  <w:style w:type="paragraph" w:customStyle="1" w:styleId="FooterEven">
    <w:name w:val="Footer Even"/>
    <w:basedOn w:val="Footer"/>
  </w:style>
  <w:style w:type="paragraph" w:customStyle="1" w:styleId="FooterOdd">
    <w:name w:val="Footer Odd"/>
    <w:basedOn w:val="Footer"/>
    <w:pPr>
      <w:tabs>
        <w:tab w:val="right" w:pos="0"/>
      </w:tabs>
      <w:jc w:val="right"/>
    </w:pPr>
  </w:style>
  <w:style w:type="paragraph" w:customStyle="1" w:styleId="HeaderFirst">
    <w:name w:val="Header First"/>
    <w:basedOn w:val="Header"/>
    <w:pPr>
      <w:tabs>
        <w:tab w:val="clear" w:pos="8640"/>
      </w:tabs>
      <w:jc w:val="center"/>
    </w:pPr>
  </w:style>
  <w:style w:type="paragraph" w:customStyle="1" w:styleId="HeaderEven">
    <w:name w:val="Header Even"/>
    <w:basedOn w:val="Header"/>
  </w:style>
  <w:style w:type="paragraph" w:customStyle="1" w:styleId="HeaderOdd">
    <w:name w:val="Header Odd"/>
    <w:basedOn w:val="Header"/>
    <w:pPr>
      <w:tabs>
        <w:tab w:val="right" w:pos="0"/>
      </w:tabs>
      <w:jc w:val="right"/>
    </w:pPr>
  </w:style>
  <w:style w:type="paragraph" w:customStyle="1" w:styleId="ListBulletFirst">
    <w:name w:val="List Bullet First"/>
    <w:basedOn w:val="ListBullet"/>
    <w:next w:val="ListBullet"/>
    <w:pPr>
      <w:spacing w:before="60"/>
    </w:pPr>
  </w:style>
  <w:style w:type="paragraph" w:customStyle="1" w:styleId="ListBulletLast">
    <w:name w:val="List Bullet Last"/>
    <w:basedOn w:val="ListBullet"/>
    <w:next w:val="BodyText"/>
    <w:pPr>
      <w:spacing w:after="240"/>
    </w:pPr>
  </w:style>
  <w:style w:type="paragraph" w:styleId="ListBullet5">
    <w:name w:val="List Bullet 5"/>
    <w:basedOn w:val="ListBullet"/>
    <w:pPr>
      <w:ind w:left="2880"/>
    </w:pPr>
  </w:style>
  <w:style w:type="paragraph" w:styleId="ListBullet4">
    <w:name w:val="List Bullet 4"/>
    <w:basedOn w:val="ListBullet"/>
    <w:pPr>
      <w:ind w:left="2520"/>
    </w:pPr>
  </w:style>
  <w:style w:type="character" w:customStyle="1" w:styleId="MessageHeaderLabel">
    <w:name w:val="Message Header Label"/>
    <w:rPr>
      <w:b/>
      <w:caps/>
      <w:sz w:val="20"/>
    </w:rPr>
  </w:style>
  <w:style w:type="paragraph" w:customStyle="1" w:styleId="ListFirst">
    <w:name w:val="List First"/>
    <w:basedOn w:val="List"/>
    <w:next w:val="List"/>
    <w:pPr>
      <w:spacing w:before="60"/>
    </w:pPr>
  </w:style>
  <w:style w:type="paragraph" w:customStyle="1" w:styleId="ListLast">
    <w:name w:val="List Last"/>
    <w:basedOn w:val="List"/>
    <w:next w:val="BodyText"/>
    <w:pPr>
      <w:spacing w:after="240"/>
    </w:pPr>
  </w:style>
  <w:style w:type="paragraph" w:customStyle="1" w:styleId="ListNumberFirst">
    <w:name w:val="List Number First"/>
    <w:basedOn w:val="ListNumber"/>
    <w:next w:val="ListNumber"/>
    <w:pPr>
      <w:spacing w:before="60"/>
    </w:pPr>
  </w:style>
  <w:style w:type="paragraph" w:customStyle="1" w:styleId="ListNumberLast">
    <w:name w:val="List Number Last"/>
    <w:basedOn w:val="ListNumber"/>
    <w:next w:val="BodyText"/>
    <w:pPr>
      <w:spacing w:after="240"/>
    </w:pPr>
  </w:style>
  <w:style w:type="paragraph" w:styleId="Date">
    <w:name w:val="Date"/>
    <w:basedOn w:val="BodyText"/>
    <w:pPr>
      <w:spacing w:before="480" w:after="0"/>
      <w:ind w:left="0"/>
    </w:pPr>
  </w:style>
  <w:style w:type="paragraph" w:styleId="ListBullet3">
    <w:name w:val="List Bullet 3"/>
    <w:basedOn w:val="ListBullet"/>
    <w:pPr>
      <w:ind w:left="2160"/>
    </w:pPr>
  </w:style>
  <w:style w:type="paragraph" w:styleId="ListNumber5">
    <w:name w:val="List Number 5"/>
    <w:basedOn w:val="ListNumber"/>
    <w:pPr>
      <w:ind w:left="2880"/>
    </w:pPr>
  </w:style>
  <w:style w:type="paragraph" w:styleId="ListNumber4">
    <w:name w:val="List Number 4"/>
    <w:basedOn w:val="ListNumber"/>
    <w:pPr>
      <w:ind w:left="2520"/>
    </w:pPr>
  </w:style>
  <w:style w:type="paragraph" w:styleId="ListNumber3">
    <w:name w:val="List Number 3"/>
    <w:basedOn w:val="ListNumber"/>
    <w:pPr>
      <w:ind w:left="2160"/>
    </w:pPr>
  </w:style>
  <w:style w:type="paragraph" w:styleId="ListNumber2">
    <w:name w:val="List Number 2"/>
    <w:basedOn w:val="ListNumber"/>
    <w:pPr>
      <w:ind w:left="1800"/>
    </w:pPr>
  </w:style>
  <w:style w:type="paragraph" w:styleId="ListBullet2">
    <w:name w:val="List Bullet 2"/>
    <w:basedOn w:val="ListBullet"/>
    <w:pPr>
      <w:ind w:left="1800"/>
    </w:pPr>
  </w:style>
  <w:style w:type="paragraph" w:styleId="List5">
    <w:name w:val="List 5"/>
    <w:basedOn w:val="List"/>
    <w:pPr>
      <w:tabs>
        <w:tab w:val="clear" w:pos="1440"/>
        <w:tab w:val="left" w:pos="2880"/>
      </w:tabs>
      <w:ind w:left="2880"/>
    </w:pPr>
  </w:style>
  <w:style w:type="paragraph" w:styleId="List4">
    <w:name w:val="List 4"/>
    <w:basedOn w:val="List"/>
    <w:pPr>
      <w:tabs>
        <w:tab w:val="clear" w:pos="1440"/>
        <w:tab w:val="left" w:pos="2520"/>
      </w:tabs>
      <w:ind w:left="2520"/>
    </w:pPr>
  </w:style>
  <w:style w:type="paragraph" w:styleId="List3">
    <w:name w:val="List 3"/>
    <w:basedOn w:val="List"/>
    <w:pPr>
      <w:tabs>
        <w:tab w:val="clear" w:pos="1440"/>
        <w:tab w:val="left" w:pos="2160"/>
      </w:tabs>
      <w:ind w:left="2160"/>
    </w:pPr>
  </w:style>
  <w:style w:type="paragraph" w:styleId="List2">
    <w:name w:val="List 2"/>
    <w:basedOn w:val="List"/>
    <w:pPr>
      <w:tabs>
        <w:tab w:val="clear" w:pos="1440"/>
        <w:tab w:val="left" w:pos="1800"/>
      </w:tabs>
      <w:ind w:left="1800"/>
    </w:pPr>
  </w:style>
  <w:style w:type="character" w:styleId="Emphasis">
    <w:name w:val="Emphasis"/>
    <w:qFormat/>
    <w:rPr>
      <w:i/>
    </w:rPr>
  </w:style>
  <w:style w:type="character" w:customStyle="1" w:styleId="FooterChar">
    <w:name w:val="Footer Char"/>
    <w:link w:val="Footer"/>
    <w:uiPriority w:val="99"/>
    <w:rsid w:val="00997BC4"/>
    <w:rPr>
      <w:rFonts w:ascii="Arial" w:hAnsi="Arial"/>
      <w:b/>
      <w:caps/>
      <w:spacing w:val="20"/>
      <w:sz w:val="18"/>
    </w:rPr>
  </w:style>
  <w:style w:type="paragraph" w:styleId="CommentText">
    <w:name w:val="annotation text"/>
    <w:basedOn w:val="FootnoteBase"/>
    <w:link w:val="CommentTextChar"/>
    <w:semiHidden/>
    <w:pPr>
      <w:spacing w:after="120"/>
    </w:pPr>
  </w:style>
  <w:style w:type="paragraph" w:customStyle="1" w:styleId="MessageHeaderFirst">
    <w:name w:val="Message Header First"/>
    <w:basedOn w:val="MessageHeader"/>
    <w:next w:val="MessageHeader"/>
    <w:pPr>
      <w:spacing w:before="120"/>
    </w:pPr>
  </w:style>
  <w:style w:type="character" w:styleId="CommentReference">
    <w:name w:val="annotation reference"/>
    <w:semiHidden/>
    <w:rPr>
      <w:sz w:val="16"/>
    </w:rPr>
  </w:style>
  <w:style w:type="paragraph" w:styleId="Subtitle">
    <w:name w:val="Subtitle"/>
    <w:basedOn w:val="Title"/>
    <w:next w:val="BodyText"/>
    <w:qFormat/>
    <w:pPr>
      <w:spacing w:before="0" w:line="240" w:lineRule="auto"/>
    </w:pPr>
    <w:rPr>
      <w:b w:val="0"/>
      <w:i/>
      <w:sz w:val="28"/>
    </w:rPr>
  </w:style>
  <w:style w:type="paragraph" w:styleId="BodyTextIndent">
    <w:name w:val="Body Text Indent"/>
    <w:basedOn w:val="BodyText"/>
    <w:pPr>
      <w:ind w:left="1080"/>
    </w:pPr>
  </w:style>
  <w:style w:type="paragraph" w:customStyle="1" w:styleId="MessageHeaderLast">
    <w:name w:val="Message Header Last"/>
    <w:basedOn w:val="MessageHeader"/>
    <w:next w:val="BodyText"/>
    <w:pPr>
      <w:spacing w:after="360"/>
    </w:pPr>
  </w:style>
  <w:style w:type="paragraph" w:styleId="NormalIndent">
    <w:name w:val="Normal Indent"/>
    <w:basedOn w:val="Normal"/>
    <w:pPr>
      <w:ind w:left="1080"/>
    </w:pPr>
  </w:style>
  <w:style w:type="paragraph" w:styleId="ListContinue">
    <w:name w:val="List Continue"/>
    <w:basedOn w:val="List"/>
    <w:pPr>
      <w:tabs>
        <w:tab w:val="clear" w:pos="1440"/>
      </w:tabs>
      <w:spacing w:after="120"/>
      <w:ind w:firstLine="0"/>
    </w:pPr>
  </w:style>
  <w:style w:type="paragraph" w:styleId="ListContinue2">
    <w:name w:val="List Continue 2"/>
    <w:basedOn w:val="ListContinue"/>
    <w:pPr>
      <w:ind w:left="1800"/>
    </w:pPr>
  </w:style>
  <w:style w:type="paragraph" w:styleId="ListContinue3">
    <w:name w:val="List Continue 3"/>
    <w:basedOn w:val="ListContinue"/>
    <w:pPr>
      <w:ind w:left="2160"/>
    </w:pPr>
  </w:style>
  <w:style w:type="paragraph" w:styleId="ListContinue4">
    <w:name w:val="List Continue 4"/>
    <w:basedOn w:val="ListContinue"/>
    <w:pPr>
      <w:ind w:left="2520"/>
    </w:pPr>
  </w:style>
  <w:style w:type="paragraph" w:styleId="ListContinue5">
    <w:name w:val="List Continue 5"/>
    <w:basedOn w:val="ListContinue"/>
    <w:pPr>
      <w:ind w:left="2880"/>
    </w:pPr>
  </w:style>
  <w:style w:type="paragraph" w:styleId="Title">
    <w:name w:val="Title"/>
    <w:basedOn w:val="HeadingBase"/>
    <w:next w:val="Subtitle"/>
    <w:link w:val="TitleChar"/>
    <w:qFormat/>
    <w:pPr>
      <w:spacing w:after="240" w:line="560" w:lineRule="exact"/>
      <w:jc w:val="center"/>
    </w:pPr>
    <w:rPr>
      <w:sz w:val="40"/>
    </w:rPr>
  </w:style>
  <w:style w:type="character" w:customStyle="1" w:styleId="HeaderChar">
    <w:name w:val="Header Char"/>
    <w:link w:val="Header"/>
    <w:rsid w:val="001F1A82"/>
    <w:rPr>
      <w:rFonts w:ascii="Arial" w:hAnsi="Arial"/>
      <w:b/>
      <w:caps/>
      <w:spacing w:val="20"/>
      <w:sz w:val="18"/>
    </w:rPr>
  </w:style>
  <w:style w:type="character" w:customStyle="1" w:styleId="TitleChar">
    <w:name w:val="Title Char"/>
    <w:link w:val="Title"/>
    <w:rsid w:val="001F1A82"/>
    <w:rPr>
      <w:rFonts w:ascii="Arial" w:hAnsi="Arial"/>
      <w:b/>
      <w:kern w:val="28"/>
      <w:sz w:val="40"/>
    </w:rPr>
  </w:style>
  <w:style w:type="table" w:styleId="TableGrid">
    <w:name w:val="Table Grid"/>
    <w:basedOn w:val="TableNormal"/>
    <w:rsid w:val="001F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510A"/>
    <w:rPr>
      <w:rFonts w:ascii="Segoe UI" w:hAnsi="Segoe UI" w:cs="Segoe UI"/>
      <w:sz w:val="18"/>
      <w:szCs w:val="18"/>
    </w:rPr>
  </w:style>
  <w:style w:type="character" w:customStyle="1" w:styleId="BalloonTextChar">
    <w:name w:val="Balloon Text Char"/>
    <w:basedOn w:val="DefaultParagraphFont"/>
    <w:link w:val="BalloonText"/>
    <w:rsid w:val="00DD510A"/>
    <w:rPr>
      <w:rFonts w:ascii="Segoe UI" w:hAnsi="Segoe UI" w:cs="Segoe UI"/>
      <w:sz w:val="18"/>
      <w:szCs w:val="18"/>
    </w:rPr>
  </w:style>
  <w:style w:type="paragraph" w:styleId="CommentSubject">
    <w:name w:val="annotation subject"/>
    <w:basedOn w:val="CommentText"/>
    <w:next w:val="CommentText"/>
    <w:link w:val="CommentSubjectChar"/>
    <w:rsid w:val="000D31A9"/>
    <w:pPr>
      <w:keepLines w:val="0"/>
      <w:tabs>
        <w:tab w:val="clear" w:pos="187"/>
      </w:tabs>
      <w:spacing w:after="0" w:line="240" w:lineRule="auto"/>
      <w:ind w:left="720" w:firstLine="0"/>
    </w:pPr>
    <w:rPr>
      <w:b/>
      <w:bCs/>
      <w:sz w:val="20"/>
    </w:rPr>
  </w:style>
  <w:style w:type="character" w:customStyle="1" w:styleId="FootnoteBaseChar">
    <w:name w:val="Footnote Base Char"/>
    <w:basedOn w:val="DefaultParagraphFont"/>
    <w:link w:val="FootnoteBase"/>
    <w:rsid w:val="000D31A9"/>
    <w:rPr>
      <w:rFonts w:ascii="Arial" w:hAnsi="Arial"/>
      <w:sz w:val="18"/>
    </w:rPr>
  </w:style>
  <w:style w:type="character" w:customStyle="1" w:styleId="CommentTextChar">
    <w:name w:val="Comment Text Char"/>
    <w:basedOn w:val="FootnoteBaseChar"/>
    <w:link w:val="CommentText"/>
    <w:semiHidden/>
    <w:rsid w:val="000D31A9"/>
    <w:rPr>
      <w:rFonts w:ascii="Arial" w:hAnsi="Arial"/>
      <w:sz w:val="18"/>
    </w:rPr>
  </w:style>
  <w:style w:type="character" w:customStyle="1" w:styleId="CommentSubjectChar">
    <w:name w:val="Comment Subject Char"/>
    <w:basedOn w:val="CommentTextChar"/>
    <w:link w:val="CommentSubject"/>
    <w:rsid w:val="000D31A9"/>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0FA9-BB4B-4B11-B828-C28E9C6A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Severance Policy</vt:lpstr>
    </vt:vector>
  </TitlesOfParts>
  <Company>Valmont Microflect</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Severance Policy</dc:title>
  <dc:subject/>
  <dc:creator>SCarter</dc:creator>
  <cp:keywords/>
  <dc:description/>
  <cp:lastModifiedBy>Nancy Van Dyke</cp:lastModifiedBy>
  <cp:revision>2</cp:revision>
  <cp:lastPrinted>1998-04-06T16:40:00Z</cp:lastPrinted>
  <dcterms:created xsi:type="dcterms:W3CDTF">2022-01-19T22:06:00Z</dcterms:created>
  <dcterms:modified xsi:type="dcterms:W3CDTF">2022-01-19T22:06:00Z</dcterms:modified>
</cp:coreProperties>
</file>