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22EA7" w14:textId="77777777" w:rsidR="00B03BAC" w:rsidRDefault="00B03BAC" w:rsidP="00B03BAC">
      <w:pPr>
        <w:rPr>
          <w:b/>
          <w:color w:val="000000"/>
          <w:sz w:val="40"/>
          <w:szCs w:val="40"/>
        </w:rPr>
      </w:pPr>
      <w:r>
        <w:rPr>
          <w:noProof/>
        </w:rPr>
        <w:drawing>
          <wp:anchor distT="0" distB="0" distL="114300" distR="114300" simplePos="0" relativeHeight="251659264" behindDoc="0" locked="0" layoutInCell="1" allowOverlap="1" wp14:anchorId="05F4A2AF" wp14:editId="392D3DA0">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31649C81" w14:textId="77777777" w:rsidR="00B03BAC" w:rsidRPr="00917939" w:rsidRDefault="00B03BAC" w:rsidP="00B03BA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BD4C08D" w14:textId="77777777" w:rsidR="00B03BAC" w:rsidRPr="00917939" w:rsidRDefault="00B03BAC" w:rsidP="00B03BA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BEBCA33" w14:textId="77777777" w:rsidR="00B03BAC" w:rsidRPr="00F72435" w:rsidRDefault="00B03BAC" w:rsidP="00B03BAC">
      <w:pPr>
        <w:rPr>
          <w:b/>
          <w:color w:val="000000"/>
          <w:sz w:val="40"/>
          <w:szCs w:val="40"/>
        </w:rPr>
      </w:pPr>
    </w:p>
    <w:p w14:paraId="0FB8CC70" w14:textId="26CDBAC6" w:rsidR="00CA2801" w:rsidRPr="00454C27" w:rsidRDefault="002E2FDC" w:rsidP="00516DAA">
      <w:pPr>
        <w:pStyle w:val="Heading9"/>
        <w:spacing w:line="240" w:lineRule="auto"/>
        <w:ind w:right="-720"/>
        <w:rPr>
          <w:rFonts w:ascii="Arial" w:hAnsi="Arial" w:cs="Arial"/>
          <w:b w:val="0"/>
          <w:i w:val="0"/>
          <w:sz w:val="40"/>
          <w:szCs w:val="40"/>
        </w:rPr>
      </w:pPr>
      <w:r>
        <w:rPr>
          <w:rFonts w:ascii="Arial" w:hAnsi="Arial" w:cs="Arial"/>
          <w:b w:val="0"/>
          <w:i w:val="0"/>
          <w:sz w:val="40"/>
          <w:szCs w:val="40"/>
        </w:rPr>
        <w:t xml:space="preserve">Retaliation Prohibited </w:t>
      </w:r>
    </w:p>
    <w:p w14:paraId="3F87AA39" w14:textId="77777777" w:rsidR="00CA2801" w:rsidRPr="00454C27" w:rsidRDefault="00CA2801" w:rsidP="00516DAA">
      <w:pPr>
        <w:spacing w:line="300" w:lineRule="exact"/>
        <w:ind w:right="-720"/>
        <w:rPr>
          <w:rFonts w:ascii="Arial" w:hAnsi="Arial" w:cs="Arial"/>
        </w:rPr>
      </w:pPr>
    </w:p>
    <w:p w14:paraId="775D03C8" w14:textId="77777777" w:rsidR="002E2FDC" w:rsidRPr="008569B5" w:rsidRDefault="002E2FDC" w:rsidP="009C6E3D">
      <w:pPr>
        <w:spacing w:line="300" w:lineRule="exact"/>
        <w:rPr>
          <w:rFonts w:ascii="Arial" w:hAnsi="Arial" w:cs="Arial"/>
          <w:sz w:val="22"/>
          <w:szCs w:val="22"/>
        </w:rPr>
      </w:pPr>
      <w:r w:rsidRPr="008569B5">
        <w:rPr>
          <w:rFonts w:ascii="Arial" w:hAnsi="Arial" w:cs="Arial"/>
          <w:sz w:val="22"/>
          <w:szCs w:val="22"/>
        </w:rPr>
        <w:t>The Company is committed to creating and maintaining an equitable and inclusive working environment. All employees have the right to be free from prohibited retaliation.</w:t>
      </w:r>
    </w:p>
    <w:p w14:paraId="46670F2F" w14:textId="77777777" w:rsidR="002E2FDC" w:rsidRPr="008569B5" w:rsidRDefault="002E2FDC" w:rsidP="009C6E3D">
      <w:pPr>
        <w:spacing w:line="300" w:lineRule="exact"/>
        <w:rPr>
          <w:rFonts w:ascii="Arial" w:hAnsi="Arial" w:cs="Arial"/>
          <w:sz w:val="22"/>
          <w:szCs w:val="22"/>
        </w:rPr>
      </w:pPr>
    </w:p>
    <w:p w14:paraId="7ABE5DE7" w14:textId="77777777" w:rsidR="002E2FDC" w:rsidRPr="008569B5" w:rsidRDefault="002E2FDC" w:rsidP="009C6E3D">
      <w:pPr>
        <w:spacing w:line="300" w:lineRule="exact"/>
        <w:rPr>
          <w:rFonts w:ascii="Arial" w:hAnsi="Arial" w:cs="Arial"/>
          <w:sz w:val="22"/>
          <w:szCs w:val="22"/>
        </w:rPr>
      </w:pPr>
      <w:r w:rsidRPr="008569B5">
        <w:rPr>
          <w:rFonts w:ascii="Arial" w:hAnsi="Arial" w:cs="Arial"/>
          <w:sz w:val="22"/>
          <w:szCs w:val="22"/>
        </w:rPr>
        <w:t xml:space="preserve">Retaliation is any adverse action that the Company takes (including actions by managers or supervisors) against an employee for engaging in protected activities. </w:t>
      </w:r>
    </w:p>
    <w:p w14:paraId="74257355" w14:textId="77777777" w:rsidR="002E2FDC" w:rsidRPr="008569B5" w:rsidRDefault="002E2FDC" w:rsidP="009C6E3D">
      <w:pPr>
        <w:spacing w:line="300" w:lineRule="exact"/>
        <w:rPr>
          <w:rFonts w:ascii="Arial" w:hAnsi="Arial" w:cs="Arial"/>
          <w:i/>
          <w:iCs/>
          <w:sz w:val="22"/>
          <w:szCs w:val="22"/>
        </w:rPr>
      </w:pPr>
    </w:p>
    <w:p w14:paraId="66D80D65" w14:textId="6E455611" w:rsidR="002E2FDC" w:rsidRPr="008569B5" w:rsidRDefault="002E2FDC" w:rsidP="009C6E3D">
      <w:pPr>
        <w:spacing w:line="300" w:lineRule="exact"/>
        <w:rPr>
          <w:rFonts w:ascii="Arial" w:hAnsi="Arial" w:cs="Arial"/>
          <w:sz w:val="22"/>
          <w:szCs w:val="22"/>
        </w:rPr>
      </w:pPr>
      <w:r w:rsidRPr="008569B5">
        <w:rPr>
          <w:rFonts w:ascii="Arial" w:hAnsi="Arial" w:cs="Arial"/>
          <w:i/>
          <w:iCs/>
          <w:sz w:val="22"/>
          <w:szCs w:val="22"/>
        </w:rPr>
        <w:t>Adverse action</w:t>
      </w:r>
      <w:r w:rsidRPr="008569B5">
        <w:rPr>
          <w:rFonts w:ascii="Arial" w:hAnsi="Arial" w:cs="Arial"/>
          <w:sz w:val="22"/>
          <w:szCs w:val="22"/>
        </w:rPr>
        <w:t> is any action that is reasonably likely to deter a reasonable person in the same circumstances as the individual from engaging in protected activity. Adverse action does not include (1) petty slights or trivial annoyances; or (2) action, including employment, which would have been taken regardless of the individual’s engagement in protected activity.</w:t>
      </w:r>
    </w:p>
    <w:p w14:paraId="7A1A4E0A" w14:textId="5BD36DC6" w:rsidR="002E2FDC" w:rsidRPr="008569B5" w:rsidRDefault="002E2FDC" w:rsidP="009C6E3D">
      <w:pPr>
        <w:spacing w:line="300" w:lineRule="exact"/>
        <w:rPr>
          <w:rFonts w:ascii="Arial" w:hAnsi="Arial" w:cs="Arial"/>
          <w:sz w:val="22"/>
          <w:szCs w:val="22"/>
        </w:rPr>
      </w:pPr>
    </w:p>
    <w:p w14:paraId="1013EEEC" w14:textId="0E3DB210" w:rsidR="002E2FDC" w:rsidRPr="008569B5" w:rsidRDefault="002E2FDC" w:rsidP="009C6E3D">
      <w:pPr>
        <w:spacing w:line="300" w:lineRule="exact"/>
        <w:rPr>
          <w:rFonts w:ascii="Arial" w:hAnsi="Arial" w:cs="Arial"/>
          <w:sz w:val="22"/>
          <w:szCs w:val="22"/>
        </w:rPr>
      </w:pPr>
      <w:r w:rsidRPr="008569B5">
        <w:rPr>
          <w:rFonts w:ascii="Arial" w:hAnsi="Arial" w:cs="Arial"/>
          <w:sz w:val="22"/>
          <w:szCs w:val="22"/>
        </w:rPr>
        <w:t>Because adverse action can be subtle, it may not always be easy to spot. Examples of adverse action include, but are not limited to the following conduct taken solely because an employee engaged in a protected activity:</w:t>
      </w:r>
    </w:p>
    <w:p w14:paraId="36A339DD" w14:textId="77777777" w:rsidR="002E2FDC" w:rsidRPr="008569B5" w:rsidRDefault="002E2FDC" w:rsidP="009C6E3D">
      <w:pPr>
        <w:spacing w:line="300" w:lineRule="exact"/>
        <w:rPr>
          <w:rFonts w:ascii="Arial" w:hAnsi="Arial" w:cs="Arial"/>
          <w:sz w:val="22"/>
          <w:szCs w:val="22"/>
        </w:rPr>
      </w:pPr>
    </w:p>
    <w:p w14:paraId="0863FDA9" w14:textId="043655D5" w:rsidR="002E2FDC" w:rsidRPr="008569B5" w:rsidRDefault="003C3F9F"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Termination</w:t>
      </w:r>
    </w:p>
    <w:p w14:paraId="7FBC89B2" w14:textId="09108967" w:rsidR="002E2FDC" w:rsidRPr="008569B5" w:rsidRDefault="003C3F9F"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Demotion</w:t>
      </w:r>
    </w:p>
    <w:p w14:paraId="572AB9E9" w14:textId="126E3967" w:rsidR="002E2FDC" w:rsidRPr="008569B5" w:rsidRDefault="002E2FDC"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Den</w:t>
      </w:r>
      <w:r w:rsidR="003C3F9F" w:rsidRPr="008569B5">
        <w:rPr>
          <w:rFonts w:ascii="Arial" w:hAnsi="Arial" w:cs="Arial"/>
          <w:sz w:val="22"/>
          <w:szCs w:val="22"/>
        </w:rPr>
        <w:t xml:space="preserve">ial of </w:t>
      </w:r>
      <w:r w:rsidRPr="008569B5">
        <w:rPr>
          <w:rFonts w:ascii="Arial" w:hAnsi="Arial" w:cs="Arial"/>
          <w:sz w:val="22"/>
          <w:szCs w:val="22"/>
        </w:rPr>
        <w:t>overtime or promotion</w:t>
      </w:r>
    </w:p>
    <w:p w14:paraId="217CD934" w14:textId="45633F42" w:rsidR="003C3F9F" w:rsidRPr="008569B5" w:rsidRDefault="003C3F9F"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 xml:space="preserve">Discipline </w:t>
      </w:r>
      <w:r w:rsidR="002E2FDC" w:rsidRPr="008569B5">
        <w:rPr>
          <w:rFonts w:ascii="Arial" w:hAnsi="Arial" w:cs="Arial"/>
          <w:sz w:val="22"/>
          <w:szCs w:val="22"/>
        </w:rPr>
        <w:t xml:space="preserve"> </w:t>
      </w:r>
    </w:p>
    <w:p w14:paraId="30B91E40" w14:textId="0BA27416" w:rsidR="002E2FDC" w:rsidRPr="008569B5" w:rsidRDefault="003C3F9F"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 xml:space="preserve">Denial of </w:t>
      </w:r>
      <w:r w:rsidR="002E2FDC" w:rsidRPr="008569B5">
        <w:rPr>
          <w:rFonts w:ascii="Arial" w:hAnsi="Arial" w:cs="Arial"/>
          <w:sz w:val="22"/>
          <w:szCs w:val="22"/>
        </w:rPr>
        <w:t>benefits</w:t>
      </w:r>
    </w:p>
    <w:p w14:paraId="4EB1E285" w14:textId="0B7EA889" w:rsidR="003C3F9F" w:rsidRPr="008569B5" w:rsidRDefault="002E2FDC"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Fail</w:t>
      </w:r>
      <w:r w:rsidR="003C3F9F" w:rsidRPr="008569B5">
        <w:rPr>
          <w:rFonts w:ascii="Arial" w:hAnsi="Arial" w:cs="Arial"/>
          <w:sz w:val="22"/>
          <w:szCs w:val="22"/>
        </w:rPr>
        <w:t>ure</w:t>
      </w:r>
      <w:r w:rsidRPr="008569B5">
        <w:rPr>
          <w:rFonts w:ascii="Arial" w:hAnsi="Arial" w:cs="Arial"/>
          <w:sz w:val="22"/>
          <w:szCs w:val="22"/>
        </w:rPr>
        <w:t xml:space="preserve"> to hire or rehire  </w:t>
      </w:r>
    </w:p>
    <w:p w14:paraId="126B8AC3" w14:textId="6A6DA015" w:rsidR="003C3F9F" w:rsidRPr="008569B5" w:rsidRDefault="003C3F9F"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Making threats or intimidation</w:t>
      </w:r>
    </w:p>
    <w:p w14:paraId="259BEF33" w14:textId="21563117" w:rsidR="002E2FDC" w:rsidRPr="008569B5" w:rsidRDefault="0026739E"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Exclude listing</w:t>
      </w:r>
      <w:r w:rsidRPr="008569B5" w:rsidDel="0026739E">
        <w:rPr>
          <w:rFonts w:ascii="Arial" w:hAnsi="Arial" w:cs="Arial"/>
          <w:sz w:val="22"/>
          <w:szCs w:val="22"/>
        </w:rPr>
        <w:t xml:space="preserve"> </w:t>
      </w:r>
      <w:r w:rsidR="002E2FDC" w:rsidRPr="008569B5">
        <w:rPr>
          <w:rFonts w:ascii="Arial" w:hAnsi="Arial" w:cs="Arial"/>
          <w:sz w:val="22"/>
          <w:szCs w:val="22"/>
        </w:rPr>
        <w:t>(e.g., notifying other potential employers that an applicant should not be hired or refusing to consider applicants for employment who have reported concerns to previous employers)</w:t>
      </w:r>
    </w:p>
    <w:p w14:paraId="5BCBFCCC" w14:textId="77777777" w:rsidR="002E2FDC" w:rsidRPr="008569B5" w:rsidRDefault="002E2FDC"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 xml:space="preserve">Reassignment to a less desirable position or actions affecting prospects for promotion (such as excluding an employee from training meetings) </w:t>
      </w:r>
    </w:p>
    <w:p w14:paraId="1E2E8D0E" w14:textId="4CC8FE8C" w:rsidR="002E2FDC" w:rsidRPr="008569B5" w:rsidRDefault="003C3F9F"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Reducing</w:t>
      </w:r>
      <w:r w:rsidR="002E2FDC" w:rsidRPr="008569B5">
        <w:rPr>
          <w:rFonts w:ascii="Arial" w:hAnsi="Arial" w:cs="Arial"/>
          <w:sz w:val="22"/>
          <w:szCs w:val="22"/>
        </w:rPr>
        <w:t xml:space="preserve"> pay or hours</w:t>
      </w:r>
    </w:p>
    <w:p w14:paraId="4ED10659" w14:textId="6F940FC9" w:rsidR="002E2FDC" w:rsidRPr="008569B5" w:rsidRDefault="002E2FDC" w:rsidP="009C6E3D">
      <w:pPr>
        <w:pStyle w:val="ListParagraph"/>
        <w:numPr>
          <w:ilvl w:val="0"/>
          <w:numId w:val="11"/>
        </w:numPr>
        <w:spacing w:line="300" w:lineRule="exact"/>
        <w:rPr>
          <w:rFonts w:ascii="Arial" w:hAnsi="Arial" w:cs="Arial"/>
          <w:sz w:val="22"/>
          <w:szCs w:val="22"/>
        </w:rPr>
      </w:pPr>
      <w:r w:rsidRPr="008569B5">
        <w:rPr>
          <w:rFonts w:ascii="Arial" w:hAnsi="Arial" w:cs="Arial"/>
          <w:sz w:val="22"/>
          <w:szCs w:val="22"/>
        </w:rPr>
        <w:t>More subtle actions, such as isolating, ostracizing, mocking, or falsely accusing the employee of poor performance.</w:t>
      </w:r>
    </w:p>
    <w:p w14:paraId="66509335" w14:textId="77777777" w:rsidR="002E2FDC" w:rsidRPr="008569B5" w:rsidRDefault="002E2FDC" w:rsidP="009C6E3D">
      <w:pPr>
        <w:spacing w:line="300" w:lineRule="exact"/>
        <w:rPr>
          <w:rFonts w:ascii="Arial" w:hAnsi="Arial" w:cs="Arial"/>
          <w:i/>
          <w:iCs/>
          <w:sz w:val="22"/>
          <w:szCs w:val="22"/>
        </w:rPr>
      </w:pPr>
    </w:p>
    <w:p w14:paraId="483EB8B6" w14:textId="77777777" w:rsidR="008569B5" w:rsidRDefault="008569B5" w:rsidP="009C6E3D">
      <w:pPr>
        <w:spacing w:line="300" w:lineRule="exact"/>
        <w:rPr>
          <w:rFonts w:ascii="Arial" w:hAnsi="Arial" w:cs="Arial"/>
          <w:i/>
          <w:iCs/>
          <w:sz w:val="22"/>
          <w:szCs w:val="22"/>
        </w:rPr>
      </w:pPr>
      <w:r>
        <w:rPr>
          <w:rFonts w:ascii="Arial" w:hAnsi="Arial" w:cs="Arial"/>
          <w:i/>
          <w:iCs/>
          <w:sz w:val="22"/>
          <w:szCs w:val="22"/>
        </w:rPr>
        <w:br w:type="page"/>
      </w:r>
    </w:p>
    <w:p w14:paraId="3C2C3BE9" w14:textId="15145648" w:rsidR="002E2FDC" w:rsidRDefault="002E2FDC" w:rsidP="009C6E3D">
      <w:pPr>
        <w:spacing w:line="300" w:lineRule="exact"/>
        <w:rPr>
          <w:rFonts w:ascii="Arial" w:hAnsi="Arial" w:cs="Arial"/>
          <w:sz w:val="22"/>
          <w:szCs w:val="22"/>
        </w:rPr>
      </w:pPr>
      <w:r w:rsidRPr="008569B5">
        <w:rPr>
          <w:rFonts w:ascii="Arial" w:hAnsi="Arial" w:cs="Arial"/>
          <w:i/>
          <w:iCs/>
          <w:sz w:val="22"/>
          <w:szCs w:val="22"/>
        </w:rPr>
        <w:lastRenderedPageBreak/>
        <w:t>Protected activity</w:t>
      </w:r>
      <w:r w:rsidRPr="008569B5">
        <w:rPr>
          <w:rFonts w:ascii="Arial" w:hAnsi="Arial" w:cs="Arial"/>
          <w:sz w:val="22"/>
          <w:szCs w:val="22"/>
        </w:rPr>
        <w:t xml:space="preserve"> includes but is not limited to:</w:t>
      </w:r>
    </w:p>
    <w:p w14:paraId="07E6B7FE" w14:textId="77777777" w:rsidR="00EC3B88" w:rsidRPr="008569B5" w:rsidRDefault="00EC3B88" w:rsidP="009C6E3D">
      <w:pPr>
        <w:spacing w:line="300" w:lineRule="exact"/>
        <w:rPr>
          <w:rFonts w:ascii="Arial" w:hAnsi="Arial" w:cs="Arial"/>
          <w:sz w:val="22"/>
          <w:szCs w:val="22"/>
        </w:rPr>
      </w:pPr>
    </w:p>
    <w:p w14:paraId="46B4680A" w14:textId="40B2B6F1" w:rsidR="003C3F9F" w:rsidRPr="008569B5" w:rsidRDefault="003C3F9F" w:rsidP="009C6E3D">
      <w:pPr>
        <w:numPr>
          <w:ilvl w:val="0"/>
          <w:numId w:val="10"/>
        </w:numPr>
        <w:spacing w:line="300" w:lineRule="exact"/>
        <w:rPr>
          <w:rFonts w:ascii="Arial" w:hAnsi="Arial" w:cs="Arial"/>
          <w:sz w:val="22"/>
          <w:szCs w:val="22"/>
        </w:rPr>
      </w:pPr>
      <w:r w:rsidRPr="008569B5">
        <w:rPr>
          <w:rFonts w:ascii="Arial" w:hAnsi="Arial" w:cs="Arial"/>
          <w:sz w:val="22"/>
          <w:szCs w:val="22"/>
        </w:rPr>
        <w:t>Reporting harassment or discrimination</w:t>
      </w:r>
    </w:p>
    <w:p w14:paraId="08032374" w14:textId="5E503955" w:rsidR="002E2FDC" w:rsidRPr="008569B5" w:rsidRDefault="002E2FDC" w:rsidP="009C6E3D">
      <w:pPr>
        <w:numPr>
          <w:ilvl w:val="0"/>
          <w:numId w:val="10"/>
        </w:numPr>
        <w:spacing w:line="300" w:lineRule="exact"/>
        <w:rPr>
          <w:rFonts w:ascii="Arial" w:hAnsi="Arial" w:cs="Arial"/>
          <w:sz w:val="22"/>
          <w:szCs w:val="22"/>
        </w:rPr>
      </w:pPr>
      <w:r w:rsidRPr="008569B5">
        <w:rPr>
          <w:rFonts w:ascii="Arial" w:hAnsi="Arial" w:cs="Arial"/>
          <w:sz w:val="22"/>
          <w:szCs w:val="22"/>
        </w:rPr>
        <w:t>Reporting or opposing an unsafe working condition</w:t>
      </w:r>
    </w:p>
    <w:p w14:paraId="7B73C964"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 xml:space="preserve">Reporting or opposing wage and hour violations </w:t>
      </w:r>
    </w:p>
    <w:p w14:paraId="240200A2"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 xml:space="preserve">Reporting or opposing unlawful employment practices </w:t>
      </w:r>
    </w:p>
    <w:p w14:paraId="7BDF11B4"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Reporting or opposing activity an employee reasonably believes is a violation of state or federal law</w:t>
      </w:r>
    </w:p>
    <w:p w14:paraId="37B711D7" w14:textId="5411F2DF"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 xml:space="preserve">Filing a complaint or otherwise participating in an investigation or inquiry by the </w:t>
      </w:r>
      <w:r w:rsidR="008569B5">
        <w:rPr>
          <w:rFonts w:ascii="Arial" w:hAnsi="Arial" w:cs="Arial"/>
          <w:sz w:val="22"/>
          <w:szCs w:val="22"/>
        </w:rPr>
        <w:t>C</w:t>
      </w:r>
      <w:r w:rsidRPr="008569B5">
        <w:rPr>
          <w:rFonts w:ascii="Arial" w:hAnsi="Arial" w:cs="Arial"/>
          <w:sz w:val="22"/>
          <w:szCs w:val="22"/>
        </w:rPr>
        <w:t xml:space="preserve">ompany, or a state or federal agency pertaining to discrimination, harassment, or other conduct prohibited by </w:t>
      </w:r>
      <w:r w:rsidR="008569B5">
        <w:rPr>
          <w:rFonts w:ascii="Arial" w:hAnsi="Arial" w:cs="Arial"/>
          <w:sz w:val="22"/>
          <w:szCs w:val="22"/>
        </w:rPr>
        <w:t>C</w:t>
      </w:r>
      <w:r w:rsidRPr="008569B5">
        <w:rPr>
          <w:rFonts w:ascii="Arial" w:hAnsi="Arial" w:cs="Arial"/>
          <w:sz w:val="22"/>
          <w:szCs w:val="22"/>
        </w:rPr>
        <w:t>ompany policy or applicable law</w:t>
      </w:r>
    </w:p>
    <w:p w14:paraId="05342ADE"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 xml:space="preserve">Participating in the Company’s reasonable accommodation processes under the Americans with Disabilities Act (ADA) </w:t>
      </w:r>
    </w:p>
    <w:p w14:paraId="3D5D3E3F"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Asking for a religious accommodation</w:t>
      </w:r>
    </w:p>
    <w:p w14:paraId="3D29C82F"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 xml:space="preserve">Taking military leave </w:t>
      </w:r>
    </w:p>
    <w:p w14:paraId="06F18FFD" w14:textId="77777777" w:rsidR="002E2FDC" w:rsidRPr="008569B5" w:rsidRDefault="002E2FDC" w:rsidP="009C6E3D">
      <w:pPr>
        <w:numPr>
          <w:ilvl w:val="0"/>
          <w:numId w:val="9"/>
        </w:numPr>
        <w:spacing w:line="300" w:lineRule="exact"/>
        <w:rPr>
          <w:rFonts w:ascii="Arial" w:hAnsi="Arial" w:cs="Arial"/>
          <w:sz w:val="22"/>
          <w:szCs w:val="22"/>
        </w:rPr>
      </w:pPr>
      <w:r w:rsidRPr="008569B5">
        <w:rPr>
          <w:rFonts w:ascii="Arial" w:hAnsi="Arial" w:cs="Arial"/>
          <w:sz w:val="22"/>
          <w:szCs w:val="22"/>
        </w:rPr>
        <w:t>Invoking an employee’s rights under Paid Leave Oregon (PLO), Oregon Family Leave Act (OFLA), or the Federal Family Leave Act (FMLA)</w:t>
      </w:r>
    </w:p>
    <w:p w14:paraId="3D5864B6" w14:textId="77777777" w:rsidR="002E2FDC" w:rsidRPr="008569B5" w:rsidRDefault="002E2FDC" w:rsidP="009C6E3D">
      <w:pPr>
        <w:spacing w:line="300" w:lineRule="exact"/>
        <w:rPr>
          <w:rFonts w:ascii="Arial" w:hAnsi="Arial" w:cs="Arial"/>
          <w:sz w:val="22"/>
          <w:szCs w:val="22"/>
        </w:rPr>
      </w:pPr>
    </w:p>
    <w:p w14:paraId="6F35F1D0" w14:textId="702DC1C3" w:rsidR="002E2FDC" w:rsidRPr="008569B5" w:rsidRDefault="002E2FDC" w:rsidP="009C6E3D">
      <w:pPr>
        <w:spacing w:line="300" w:lineRule="exact"/>
        <w:rPr>
          <w:rFonts w:ascii="Arial" w:hAnsi="Arial" w:cs="Arial"/>
          <w:sz w:val="22"/>
          <w:szCs w:val="22"/>
        </w:rPr>
      </w:pPr>
      <w:r w:rsidRPr="008569B5">
        <w:rPr>
          <w:rFonts w:ascii="Arial" w:hAnsi="Arial" w:cs="Arial"/>
          <w:sz w:val="22"/>
          <w:szCs w:val="22"/>
        </w:rPr>
        <w:t>If you believe you have experience</w:t>
      </w:r>
      <w:r w:rsidR="003C3F9F" w:rsidRPr="008569B5">
        <w:rPr>
          <w:rFonts w:ascii="Arial" w:hAnsi="Arial" w:cs="Arial"/>
          <w:sz w:val="22"/>
          <w:szCs w:val="22"/>
        </w:rPr>
        <w:t>d</w:t>
      </w:r>
      <w:r w:rsidRPr="008569B5">
        <w:rPr>
          <w:rFonts w:ascii="Arial" w:hAnsi="Arial" w:cs="Arial"/>
          <w:sz w:val="22"/>
          <w:szCs w:val="22"/>
        </w:rPr>
        <w:t>, witnessed, or been made aware of possible retaliation, it is important that you contact any member of management or human resources immediately.</w:t>
      </w:r>
    </w:p>
    <w:p w14:paraId="038AAF54" w14:textId="77777777" w:rsidR="002E2FDC" w:rsidRPr="008569B5" w:rsidRDefault="002E2FDC" w:rsidP="009C6E3D">
      <w:pPr>
        <w:spacing w:line="300" w:lineRule="exact"/>
        <w:rPr>
          <w:rFonts w:ascii="Arial" w:hAnsi="Arial" w:cs="Arial"/>
          <w:sz w:val="22"/>
          <w:szCs w:val="22"/>
        </w:rPr>
      </w:pPr>
    </w:p>
    <w:p w14:paraId="7C2D9960" w14:textId="27796284" w:rsidR="002E2FDC" w:rsidRPr="008569B5" w:rsidRDefault="002E2FDC" w:rsidP="009C6E3D">
      <w:pPr>
        <w:spacing w:line="300" w:lineRule="exact"/>
        <w:rPr>
          <w:rFonts w:ascii="Arial" w:hAnsi="Arial" w:cs="Arial"/>
          <w:sz w:val="22"/>
          <w:szCs w:val="22"/>
        </w:rPr>
      </w:pPr>
      <w:r w:rsidRPr="008569B5">
        <w:rPr>
          <w:rFonts w:ascii="Arial" w:hAnsi="Arial" w:cs="Arial"/>
          <w:sz w:val="22"/>
          <w:szCs w:val="22"/>
        </w:rPr>
        <w:t xml:space="preserve">The </w:t>
      </w:r>
      <w:r w:rsidR="008569B5">
        <w:rPr>
          <w:rFonts w:ascii="Arial" w:hAnsi="Arial" w:cs="Arial"/>
          <w:sz w:val="22"/>
          <w:szCs w:val="22"/>
        </w:rPr>
        <w:t>C</w:t>
      </w:r>
      <w:r w:rsidRPr="008569B5">
        <w:rPr>
          <w:rFonts w:ascii="Arial" w:hAnsi="Arial" w:cs="Arial"/>
          <w:sz w:val="22"/>
          <w:szCs w:val="22"/>
        </w:rPr>
        <w:t xml:space="preserve">ompany will not tolerate retaliation. </w:t>
      </w:r>
    </w:p>
    <w:p w14:paraId="0F687735" w14:textId="77777777" w:rsidR="00516DAA" w:rsidRPr="008569B5" w:rsidRDefault="00516DAA" w:rsidP="008569B5">
      <w:pPr>
        <w:spacing w:line="300" w:lineRule="exact"/>
        <w:rPr>
          <w:rFonts w:ascii="Arial" w:hAnsi="Arial" w:cs="Arial"/>
          <w:sz w:val="22"/>
          <w:szCs w:val="22"/>
        </w:rPr>
      </w:pPr>
    </w:p>
    <w:p w14:paraId="35B1ED98" w14:textId="7BB61007" w:rsidR="00516DAA" w:rsidRPr="00454C27" w:rsidRDefault="00516DAA" w:rsidP="00B03BAC">
      <w:pPr>
        <w:jc w:val="right"/>
        <w:rPr>
          <w:rFonts w:ascii="Arial" w:hAnsi="Arial" w:cs="Arial"/>
          <w:sz w:val="20"/>
        </w:rPr>
      </w:pPr>
    </w:p>
    <w:sectPr w:rsidR="00516DAA" w:rsidRPr="00454C27" w:rsidSect="00B03B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1CF50" w14:textId="77777777" w:rsidR="008913C2" w:rsidRDefault="008913C2">
      <w:r>
        <w:separator/>
      </w:r>
    </w:p>
  </w:endnote>
  <w:endnote w:type="continuationSeparator" w:id="0">
    <w:p w14:paraId="0CDAF1A3" w14:textId="77777777" w:rsidR="008913C2" w:rsidRDefault="0089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5E3A" w14:textId="7DB8D1A2" w:rsidR="00B03BAC" w:rsidRPr="00917939" w:rsidRDefault="00B03BAC" w:rsidP="00B03BAC">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sidR="008F5111">
      <w:rPr>
        <w:rFonts w:ascii="Arial" w:hAnsi="Arial" w:cs="Arial"/>
        <w:sz w:val="20"/>
      </w:rPr>
      <w:tab/>
    </w:r>
    <w:r w:rsidR="008F5111">
      <w:rPr>
        <w:rFonts w:ascii="Arial" w:hAnsi="Arial" w:cs="Arial"/>
        <w:sz w:val="20"/>
      </w:rPr>
      <w:tab/>
    </w:r>
    <w:r w:rsidR="008569B5">
      <w:rPr>
        <w:rFonts w:ascii="Arial" w:hAnsi="Arial" w:cs="Arial"/>
        <w:sz w:val="20"/>
      </w:rPr>
      <w:t>12</w:t>
    </w:r>
    <w:r w:rsidR="008F5111">
      <w:rPr>
        <w:rFonts w:ascii="Arial" w:hAnsi="Arial" w:cs="Arial"/>
        <w:sz w:val="20"/>
      </w:rPr>
      <w:t>/202</w:t>
    </w:r>
    <w:r w:rsidR="008569B5">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C6D61" w14:textId="77777777" w:rsidR="008913C2" w:rsidRDefault="008913C2">
      <w:r>
        <w:separator/>
      </w:r>
    </w:p>
  </w:footnote>
  <w:footnote w:type="continuationSeparator" w:id="0">
    <w:p w14:paraId="1049EE11" w14:textId="77777777" w:rsidR="008913C2" w:rsidRDefault="0089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E59D0"/>
    <w:multiLevelType w:val="hybridMultilevel"/>
    <w:tmpl w:val="EE70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50623"/>
    <w:multiLevelType w:val="hybridMultilevel"/>
    <w:tmpl w:val="149A95BE"/>
    <w:lvl w:ilvl="0" w:tplc="C0F89910">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3261D"/>
    <w:multiLevelType w:val="singleLevel"/>
    <w:tmpl w:val="BEC071C8"/>
    <w:lvl w:ilvl="0">
      <w:start w:val="1"/>
      <w:numFmt w:val="decimal"/>
      <w:lvlText w:val="%1."/>
      <w:legacy w:legacy="1" w:legacySpace="0" w:legacyIndent="360"/>
      <w:lvlJc w:val="left"/>
      <w:pPr>
        <w:ind w:left="720" w:hanging="360"/>
      </w:pPr>
    </w:lvl>
  </w:abstractNum>
  <w:abstractNum w:abstractNumId="3" w15:restartNumberingAfterBreak="0">
    <w:nsid w:val="2C4C29C2"/>
    <w:multiLevelType w:val="hybridMultilevel"/>
    <w:tmpl w:val="62D609EE"/>
    <w:lvl w:ilvl="0" w:tplc="C0F89910">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8469B"/>
    <w:multiLevelType w:val="hybridMultilevel"/>
    <w:tmpl w:val="217870D0"/>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4BD635E"/>
    <w:multiLevelType w:val="hybridMultilevel"/>
    <w:tmpl w:val="D8944CF2"/>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9FE0811"/>
    <w:multiLevelType w:val="hybridMultilevel"/>
    <w:tmpl w:val="5DC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534CB1"/>
    <w:multiLevelType w:val="hybridMultilevel"/>
    <w:tmpl w:val="4D70512E"/>
    <w:lvl w:ilvl="0" w:tplc="263085B8">
      <w:start w:val="1"/>
      <w:numFmt w:val="bullet"/>
      <w:lvlText w:val=""/>
      <w:lvlJc w:val="left"/>
      <w:pPr>
        <w:ind w:left="720" w:hanging="360"/>
      </w:pPr>
      <w:rPr>
        <w:rFonts w:ascii="Wingdings 2" w:hAnsi="Wingdings 2" w:hint="default"/>
        <w:b w:val="0"/>
        <w:i w:val="0"/>
        <w:color w:val="auto"/>
        <w:spacing w:val="-4"/>
        <w:w w:val="100"/>
        <w:sz w:val="24"/>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6664834">
    <w:abstractNumId w:val="2"/>
  </w:num>
  <w:num w:numId="2" w16cid:durableId="1757894248">
    <w:abstractNumId w:val="2"/>
    <w:lvlOverride w:ilvl="0">
      <w:lvl w:ilvl="0">
        <w:start w:val="1"/>
        <w:numFmt w:val="decimal"/>
        <w:lvlText w:val="%1."/>
        <w:legacy w:legacy="1" w:legacySpace="0" w:legacyIndent="360"/>
        <w:lvlJc w:val="left"/>
        <w:pPr>
          <w:ind w:left="720" w:hanging="360"/>
        </w:pPr>
      </w:lvl>
    </w:lvlOverride>
  </w:num>
  <w:num w:numId="3" w16cid:durableId="91169176">
    <w:abstractNumId w:val="2"/>
    <w:lvlOverride w:ilvl="0">
      <w:lvl w:ilvl="0">
        <w:start w:val="1"/>
        <w:numFmt w:val="decimal"/>
        <w:lvlText w:val="%1."/>
        <w:legacy w:legacy="1" w:legacySpace="0" w:legacyIndent="360"/>
        <w:lvlJc w:val="left"/>
        <w:pPr>
          <w:ind w:left="720" w:hanging="360"/>
        </w:pPr>
      </w:lvl>
    </w:lvlOverride>
  </w:num>
  <w:num w:numId="4" w16cid:durableId="2020503318">
    <w:abstractNumId w:val="6"/>
  </w:num>
  <w:num w:numId="5" w16cid:durableId="2131052867">
    <w:abstractNumId w:val="6"/>
  </w:num>
  <w:num w:numId="6" w16cid:durableId="699934068">
    <w:abstractNumId w:val="0"/>
  </w:num>
  <w:num w:numId="7" w16cid:durableId="1043939336">
    <w:abstractNumId w:val="3"/>
  </w:num>
  <w:num w:numId="8" w16cid:durableId="935408810">
    <w:abstractNumId w:val="1"/>
  </w:num>
  <w:num w:numId="9" w16cid:durableId="1799182658">
    <w:abstractNumId w:val="4"/>
  </w:num>
  <w:num w:numId="10" w16cid:durableId="1369911358">
    <w:abstractNumId w:val="5"/>
  </w:num>
  <w:num w:numId="11" w16cid:durableId="1943296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01"/>
    <w:rsid w:val="00086CBB"/>
    <w:rsid w:val="000D014A"/>
    <w:rsid w:val="00213E79"/>
    <w:rsid w:val="002351DA"/>
    <w:rsid w:val="0026739E"/>
    <w:rsid w:val="002E2DA0"/>
    <w:rsid w:val="002E2FDC"/>
    <w:rsid w:val="00377677"/>
    <w:rsid w:val="003C3F9F"/>
    <w:rsid w:val="00414452"/>
    <w:rsid w:val="00454C27"/>
    <w:rsid w:val="00516DAA"/>
    <w:rsid w:val="005C4001"/>
    <w:rsid w:val="006341FF"/>
    <w:rsid w:val="00645E50"/>
    <w:rsid w:val="00685866"/>
    <w:rsid w:val="007211FF"/>
    <w:rsid w:val="007D72F0"/>
    <w:rsid w:val="008569B5"/>
    <w:rsid w:val="008913C2"/>
    <w:rsid w:val="008D032E"/>
    <w:rsid w:val="008F5111"/>
    <w:rsid w:val="008F5195"/>
    <w:rsid w:val="00930F5E"/>
    <w:rsid w:val="009C6E3D"/>
    <w:rsid w:val="00A33DD6"/>
    <w:rsid w:val="00B03BAC"/>
    <w:rsid w:val="00BC1A27"/>
    <w:rsid w:val="00C72A51"/>
    <w:rsid w:val="00C91657"/>
    <w:rsid w:val="00CA2801"/>
    <w:rsid w:val="00CF3610"/>
    <w:rsid w:val="00E07E2E"/>
    <w:rsid w:val="00E10595"/>
    <w:rsid w:val="00E526BC"/>
    <w:rsid w:val="00E55A78"/>
    <w:rsid w:val="00E57AFB"/>
    <w:rsid w:val="00EC3B88"/>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FCE3"/>
  <w15:chartTrackingRefBased/>
  <w15:docId w15:val="{9D5C7AD4-0A6D-448C-8E90-F594012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801"/>
    <w:rPr>
      <w:sz w:val="24"/>
    </w:rPr>
  </w:style>
  <w:style w:type="paragraph" w:styleId="Heading9">
    <w:name w:val="heading 9"/>
    <w:basedOn w:val="Normal"/>
    <w:next w:val="Normal"/>
    <w:qFormat/>
    <w:rsid w:val="00CA2801"/>
    <w:pPr>
      <w:keepNext/>
      <w:spacing w:line="300" w:lineRule="exact"/>
      <w:outlineLvl w:val="8"/>
    </w:pPr>
    <w:rPr>
      <w:rFonts w:ascii="Perpetua" w:hAnsi="Perpetu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7B1D"/>
    <w:pPr>
      <w:tabs>
        <w:tab w:val="center" w:pos="4320"/>
        <w:tab w:val="right" w:pos="8640"/>
      </w:tabs>
    </w:pPr>
  </w:style>
  <w:style w:type="paragraph" w:styleId="Footer">
    <w:name w:val="footer"/>
    <w:basedOn w:val="Normal"/>
    <w:link w:val="FooterChar"/>
    <w:rsid w:val="00FF7B1D"/>
    <w:pPr>
      <w:tabs>
        <w:tab w:val="center" w:pos="4320"/>
        <w:tab w:val="right" w:pos="8640"/>
      </w:tabs>
    </w:pPr>
  </w:style>
  <w:style w:type="character" w:customStyle="1" w:styleId="FooterChar">
    <w:name w:val="Footer Char"/>
    <w:link w:val="Footer"/>
    <w:uiPriority w:val="99"/>
    <w:rsid w:val="00E55A78"/>
    <w:rPr>
      <w:sz w:val="24"/>
    </w:rPr>
  </w:style>
  <w:style w:type="paragraph" w:styleId="Title">
    <w:name w:val="Title"/>
    <w:basedOn w:val="Normal"/>
    <w:link w:val="TitleChar"/>
    <w:qFormat/>
    <w:rsid w:val="00E07E2E"/>
    <w:pPr>
      <w:jc w:val="center"/>
    </w:pPr>
    <w:rPr>
      <w:b/>
    </w:rPr>
  </w:style>
  <w:style w:type="character" w:customStyle="1" w:styleId="TitleChar">
    <w:name w:val="Title Char"/>
    <w:link w:val="Title"/>
    <w:rsid w:val="00E07E2E"/>
    <w:rPr>
      <w:b/>
      <w:sz w:val="24"/>
    </w:rPr>
  </w:style>
  <w:style w:type="paragraph" w:styleId="BalloonText">
    <w:name w:val="Balloon Text"/>
    <w:basedOn w:val="Normal"/>
    <w:link w:val="BalloonTextChar"/>
    <w:rsid w:val="00B03BAC"/>
    <w:rPr>
      <w:rFonts w:ascii="Segoe UI" w:hAnsi="Segoe UI" w:cs="Segoe UI"/>
      <w:sz w:val="18"/>
      <w:szCs w:val="18"/>
    </w:rPr>
  </w:style>
  <w:style w:type="character" w:customStyle="1" w:styleId="BalloonTextChar">
    <w:name w:val="Balloon Text Char"/>
    <w:basedOn w:val="DefaultParagraphFont"/>
    <w:link w:val="BalloonText"/>
    <w:rsid w:val="00B03BAC"/>
    <w:rPr>
      <w:rFonts w:ascii="Segoe UI" w:hAnsi="Segoe UI" w:cs="Segoe UI"/>
      <w:sz w:val="18"/>
      <w:szCs w:val="18"/>
    </w:rPr>
  </w:style>
  <w:style w:type="character" w:customStyle="1" w:styleId="HeaderChar">
    <w:name w:val="Header Char"/>
    <w:link w:val="Header"/>
    <w:rsid w:val="00B03BAC"/>
    <w:rPr>
      <w:sz w:val="24"/>
    </w:rPr>
  </w:style>
  <w:style w:type="paragraph" w:styleId="ListParagraph">
    <w:name w:val="List Paragraph"/>
    <w:basedOn w:val="Normal"/>
    <w:uiPriority w:val="34"/>
    <w:qFormat/>
    <w:rsid w:val="002E2FDC"/>
    <w:pPr>
      <w:ind w:left="720"/>
      <w:contextualSpacing/>
    </w:pPr>
  </w:style>
  <w:style w:type="character" w:styleId="CommentReference">
    <w:name w:val="annotation reference"/>
    <w:basedOn w:val="DefaultParagraphFont"/>
    <w:rsid w:val="003C3F9F"/>
    <w:rPr>
      <w:sz w:val="16"/>
      <w:szCs w:val="16"/>
    </w:rPr>
  </w:style>
  <w:style w:type="paragraph" w:styleId="CommentText">
    <w:name w:val="annotation text"/>
    <w:basedOn w:val="Normal"/>
    <w:link w:val="CommentTextChar"/>
    <w:rsid w:val="003C3F9F"/>
    <w:rPr>
      <w:sz w:val="20"/>
    </w:rPr>
  </w:style>
  <w:style w:type="character" w:customStyle="1" w:styleId="CommentTextChar">
    <w:name w:val="Comment Text Char"/>
    <w:basedOn w:val="DefaultParagraphFont"/>
    <w:link w:val="CommentText"/>
    <w:rsid w:val="003C3F9F"/>
  </w:style>
  <w:style w:type="paragraph" w:styleId="CommentSubject">
    <w:name w:val="annotation subject"/>
    <w:basedOn w:val="CommentText"/>
    <w:next w:val="CommentText"/>
    <w:link w:val="CommentSubjectChar"/>
    <w:semiHidden/>
    <w:unhideWhenUsed/>
    <w:rsid w:val="003C3F9F"/>
    <w:rPr>
      <w:b/>
      <w:bCs/>
    </w:rPr>
  </w:style>
  <w:style w:type="character" w:customStyle="1" w:styleId="CommentSubjectChar">
    <w:name w:val="Comment Subject Char"/>
    <w:basedOn w:val="CommentTextChar"/>
    <w:link w:val="CommentSubject"/>
    <w:semiHidden/>
    <w:rsid w:val="003C3F9F"/>
    <w:rPr>
      <w:b/>
      <w:bCs/>
    </w:rPr>
  </w:style>
  <w:style w:type="paragraph" w:styleId="Revision">
    <w:name w:val="Revision"/>
    <w:hidden/>
    <w:uiPriority w:val="99"/>
    <w:semiHidden/>
    <w:rsid w:val="003C3F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286">
      <w:bodyDiv w:val="1"/>
      <w:marLeft w:val="0"/>
      <w:marRight w:val="0"/>
      <w:marTop w:val="0"/>
      <w:marBottom w:val="0"/>
      <w:divBdr>
        <w:top w:val="none" w:sz="0" w:space="0" w:color="auto"/>
        <w:left w:val="none" w:sz="0" w:space="0" w:color="auto"/>
        <w:bottom w:val="none" w:sz="0" w:space="0" w:color="auto"/>
        <w:right w:val="none" w:sz="0" w:space="0" w:color="auto"/>
      </w:divBdr>
    </w:div>
    <w:div w:id="18928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SOLICITATION AND DISTRIBUTION</vt:lpstr>
    </vt:vector>
  </TitlesOfParts>
  <Company>Cascade Employers Association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AND DISTRIBUTION</dc:title>
  <dc:subject/>
  <dc:creator>Valued Customer</dc:creator>
  <cp:keywords/>
  <dc:description/>
  <cp:lastModifiedBy>Nancy Van Dyke</cp:lastModifiedBy>
  <cp:revision>6</cp:revision>
  <dcterms:created xsi:type="dcterms:W3CDTF">2024-11-20T21:06:00Z</dcterms:created>
  <dcterms:modified xsi:type="dcterms:W3CDTF">2024-12-06T19:48:00Z</dcterms:modified>
</cp:coreProperties>
</file>