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387B5D54">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753E9A47" w:rsidR="00EF5C85" w:rsidRDefault="008A21F4" w:rsidP="002D49D2">
      <w:pPr>
        <w:pStyle w:val="BodyText"/>
        <w:ind w:right="-720"/>
        <w:jc w:val="left"/>
        <w:rPr>
          <w:rFonts w:ascii="Arial" w:hAnsi="Arial" w:cs="Arial"/>
          <w:sz w:val="40"/>
        </w:rPr>
      </w:pPr>
      <w:r>
        <w:rPr>
          <w:rFonts w:ascii="Arial" w:hAnsi="Arial" w:cs="Arial"/>
          <w:sz w:val="40"/>
        </w:rPr>
        <w:t xml:space="preserve">Washington </w:t>
      </w:r>
      <w:r w:rsidR="0041464A">
        <w:rPr>
          <w:rFonts w:ascii="Arial" w:hAnsi="Arial" w:cs="Arial"/>
          <w:sz w:val="40"/>
        </w:rPr>
        <w:t>Family Care Leave</w:t>
      </w:r>
      <w:r>
        <w:rPr>
          <w:rFonts w:ascii="Arial" w:hAnsi="Arial" w:cs="Arial"/>
          <w:sz w:val="40"/>
        </w:rPr>
        <w:t xml:space="preserve"> Act (FCA)</w:t>
      </w:r>
    </w:p>
    <w:p w14:paraId="01BA33D1" w14:textId="4F802371" w:rsidR="0041464A" w:rsidRPr="00056500" w:rsidRDefault="0041464A" w:rsidP="002D49D2">
      <w:pPr>
        <w:pStyle w:val="BodyText"/>
        <w:ind w:right="-720"/>
        <w:jc w:val="left"/>
        <w:rPr>
          <w:rFonts w:ascii="Arial" w:hAnsi="Arial" w:cs="Arial"/>
          <w:i/>
          <w:iCs/>
          <w:sz w:val="40"/>
        </w:rPr>
      </w:pPr>
      <w:r w:rsidRPr="00056500">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38C98F57" w14:textId="77777777" w:rsidR="008A21F4" w:rsidRPr="000F654E" w:rsidRDefault="008A21F4" w:rsidP="008A21F4">
      <w:pPr>
        <w:widowControl w:val="0"/>
        <w:spacing w:line="276" w:lineRule="auto"/>
        <w:rPr>
          <w:rFonts w:ascii="Arial" w:hAnsi="Arial" w:cs="Arial"/>
          <w:snapToGrid w:val="0"/>
          <w:color w:val="000000"/>
          <w:sz w:val="22"/>
          <w:szCs w:val="22"/>
        </w:rPr>
      </w:pPr>
      <w:r w:rsidRPr="000F654E">
        <w:rPr>
          <w:rFonts w:ascii="Arial" w:hAnsi="Arial" w:cs="Arial"/>
          <w:snapToGrid w:val="0"/>
          <w:color w:val="000000"/>
          <w:sz w:val="22"/>
          <w:szCs w:val="22"/>
        </w:rPr>
        <w:t>In compliance with the Washington Family Care Act (FCA), eligible employees have the option to reserve their paid sick leave specifically for their own health needs, while utilizing other forms of Company-provided paid leave for qualifying family care needs.</w:t>
      </w:r>
    </w:p>
    <w:p w14:paraId="278CDF4A" w14:textId="77777777" w:rsidR="008A21F4" w:rsidRPr="000F654E" w:rsidRDefault="008A21F4" w:rsidP="008A21F4">
      <w:pPr>
        <w:spacing w:line="276" w:lineRule="auto"/>
        <w:rPr>
          <w:rFonts w:ascii="Arial" w:eastAsia="Calibri" w:hAnsi="Arial" w:cs="Arial"/>
          <w:b/>
          <w:bCs/>
          <w:color w:val="000000"/>
          <w:sz w:val="22"/>
          <w:szCs w:val="22"/>
        </w:rPr>
      </w:pPr>
    </w:p>
    <w:p w14:paraId="625ED5D3" w14:textId="77777777" w:rsidR="008A21F4" w:rsidRPr="000F654E" w:rsidRDefault="008A21F4" w:rsidP="008A21F4">
      <w:pPr>
        <w:spacing w:line="276" w:lineRule="auto"/>
        <w:rPr>
          <w:rFonts w:ascii="Arial" w:eastAsia="Calibri" w:hAnsi="Arial" w:cs="Arial"/>
          <w:color w:val="000000"/>
          <w:sz w:val="22"/>
          <w:szCs w:val="22"/>
        </w:rPr>
      </w:pPr>
      <w:r w:rsidRPr="000F654E">
        <w:rPr>
          <w:rFonts w:ascii="Arial" w:eastAsia="Calibri" w:hAnsi="Arial" w:cs="Arial"/>
          <w:color w:val="000000"/>
          <w:sz w:val="22"/>
          <w:szCs w:val="22"/>
        </w:rPr>
        <w:t>Washington FCA allows employees to take any paid leave offered by the Company to:</w:t>
      </w:r>
    </w:p>
    <w:p w14:paraId="6B3DE57A" w14:textId="77777777" w:rsidR="008A21F4" w:rsidRPr="000F654E" w:rsidRDefault="008A21F4" w:rsidP="008A21F4">
      <w:pPr>
        <w:spacing w:line="276" w:lineRule="auto"/>
        <w:rPr>
          <w:rFonts w:ascii="Arial" w:eastAsia="Calibri" w:hAnsi="Arial" w:cs="Arial"/>
          <w:color w:val="000000"/>
          <w:sz w:val="22"/>
          <w:szCs w:val="22"/>
        </w:rPr>
      </w:pPr>
    </w:p>
    <w:p w14:paraId="409973C1" w14:textId="1F1D0CA8" w:rsidR="008A21F4" w:rsidRPr="000F654E" w:rsidRDefault="008A21F4" w:rsidP="008A21F4">
      <w:pPr>
        <w:numPr>
          <w:ilvl w:val="0"/>
          <w:numId w:val="5"/>
        </w:numPr>
        <w:spacing w:after="160" w:line="276" w:lineRule="auto"/>
        <w:rPr>
          <w:rFonts w:ascii="Arial" w:eastAsia="Calibri" w:hAnsi="Arial" w:cs="Arial"/>
          <w:sz w:val="22"/>
          <w:szCs w:val="22"/>
        </w:rPr>
      </w:pPr>
      <w:r w:rsidRPr="000F654E">
        <w:rPr>
          <w:rFonts w:ascii="Arial" w:eastAsia="Calibri" w:hAnsi="Arial" w:cs="Arial"/>
          <w:sz w:val="22"/>
          <w:szCs w:val="22"/>
        </w:rPr>
        <w:t>Care for a child with any medical condition requiring treatment or medication that the child cannot self administer; Any medical or mental health condition which would endanger the child's safety or recovery without the presence of a parent or guardian; or Any condition warranting treatment or preventive health care</w:t>
      </w:r>
      <w:r w:rsidR="00D145D8">
        <w:rPr>
          <w:rFonts w:ascii="Arial" w:eastAsia="Calibri" w:hAnsi="Arial" w:cs="Arial"/>
          <w:sz w:val="22"/>
          <w:szCs w:val="22"/>
        </w:rPr>
        <w:t>.</w:t>
      </w:r>
    </w:p>
    <w:p w14:paraId="59FA8575" w14:textId="77777777" w:rsidR="008A21F4" w:rsidRPr="000F654E" w:rsidRDefault="008A21F4" w:rsidP="008A21F4">
      <w:pPr>
        <w:numPr>
          <w:ilvl w:val="0"/>
          <w:numId w:val="5"/>
        </w:numPr>
        <w:spacing w:after="160" w:line="276" w:lineRule="auto"/>
        <w:rPr>
          <w:rFonts w:ascii="Arial" w:eastAsia="Calibri" w:hAnsi="Arial" w:cs="Arial"/>
          <w:sz w:val="22"/>
          <w:szCs w:val="22"/>
        </w:rPr>
      </w:pPr>
      <w:r w:rsidRPr="000F654E">
        <w:rPr>
          <w:rFonts w:ascii="Arial" w:eastAsia="Calibri" w:hAnsi="Arial" w:cs="Arial"/>
          <w:sz w:val="22"/>
          <w:szCs w:val="22"/>
        </w:rPr>
        <w:t>Care for spouse, parent, parent-in-law, or grandparent of the employee who has a serious health condition or emergency condition.</w:t>
      </w:r>
    </w:p>
    <w:p w14:paraId="7ADECB3E" w14:textId="77777777" w:rsidR="008A21F4" w:rsidRPr="000F654E" w:rsidRDefault="008A21F4" w:rsidP="008A21F4">
      <w:pPr>
        <w:spacing w:line="276" w:lineRule="auto"/>
        <w:rPr>
          <w:rFonts w:ascii="Arial" w:eastAsia="Calibri" w:hAnsi="Arial" w:cs="Arial"/>
          <w:snapToGrid w:val="0"/>
          <w:color w:val="000000"/>
          <w:sz w:val="22"/>
          <w:szCs w:val="22"/>
        </w:rPr>
      </w:pPr>
    </w:p>
    <w:p w14:paraId="5027FF63" w14:textId="77777777" w:rsidR="008A21F4" w:rsidRPr="000F654E" w:rsidRDefault="008A21F4" w:rsidP="008A21F4">
      <w:pPr>
        <w:spacing w:line="276" w:lineRule="auto"/>
        <w:rPr>
          <w:rFonts w:ascii="Arial" w:eastAsia="Calibri" w:hAnsi="Arial" w:cs="Arial"/>
          <w:snapToGrid w:val="0"/>
          <w:color w:val="000000"/>
          <w:sz w:val="22"/>
          <w:szCs w:val="22"/>
        </w:rPr>
      </w:pPr>
      <w:r w:rsidRPr="000F654E">
        <w:rPr>
          <w:rFonts w:ascii="Arial" w:eastAsia="Calibri" w:hAnsi="Arial" w:cs="Arial"/>
          <w:snapToGrid w:val="0"/>
          <w:color w:val="000000"/>
          <w:sz w:val="22"/>
          <w:szCs w:val="22"/>
        </w:rPr>
        <w:t>FCA leave is not available for an employee’s personal medical condition.</w:t>
      </w:r>
    </w:p>
    <w:p w14:paraId="297D482A" w14:textId="77777777" w:rsidR="008A21F4" w:rsidRPr="000F654E" w:rsidRDefault="008A21F4" w:rsidP="008A21F4">
      <w:pPr>
        <w:spacing w:line="276" w:lineRule="auto"/>
        <w:rPr>
          <w:rFonts w:ascii="Arial" w:eastAsia="Calibri" w:hAnsi="Arial" w:cs="Arial"/>
          <w:snapToGrid w:val="0"/>
          <w:color w:val="000000"/>
          <w:sz w:val="22"/>
          <w:szCs w:val="22"/>
        </w:rPr>
      </w:pPr>
    </w:p>
    <w:p w14:paraId="46464CDF" w14:textId="77777777" w:rsidR="008A21F4" w:rsidRPr="000F654E" w:rsidRDefault="008A21F4" w:rsidP="008A21F4">
      <w:pPr>
        <w:spacing w:line="276" w:lineRule="auto"/>
        <w:rPr>
          <w:rFonts w:ascii="Arial" w:eastAsia="Calibri" w:hAnsi="Arial" w:cs="Arial"/>
          <w:b/>
          <w:bCs/>
          <w:i/>
          <w:iCs/>
          <w:color w:val="000000"/>
          <w:sz w:val="22"/>
          <w:szCs w:val="22"/>
        </w:rPr>
      </w:pPr>
      <w:r w:rsidRPr="000F654E">
        <w:rPr>
          <w:rFonts w:ascii="Arial" w:eastAsia="Calibri" w:hAnsi="Arial" w:cs="Arial"/>
          <w:b/>
          <w:bCs/>
          <w:i/>
          <w:iCs/>
          <w:color w:val="000000"/>
          <w:sz w:val="22"/>
          <w:szCs w:val="22"/>
        </w:rPr>
        <w:t>Family Member Definition</w:t>
      </w:r>
    </w:p>
    <w:p w14:paraId="11FFEA25" w14:textId="77777777" w:rsidR="008A21F4" w:rsidRPr="000F654E" w:rsidRDefault="008A21F4" w:rsidP="008A21F4">
      <w:pPr>
        <w:spacing w:line="276" w:lineRule="auto"/>
        <w:rPr>
          <w:rFonts w:ascii="Arial" w:eastAsia="Calibri" w:hAnsi="Arial" w:cs="Arial"/>
          <w:b/>
          <w:bCs/>
          <w:i/>
          <w:iCs/>
          <w:color w:val="000000"/>
          <w:sz w:val="22"/>
          <w:szCs w:val="22"/>
        </w:rPr>
      </w:pPr>
    </w:p>
    <w:p w14:paraId="21C64CD5" w14:textId="77777777" w:rsidR="008A21F4" w:rsidRPr="000F654E" w:rsidRDefault="008A21F4" w:rsidP="008A21F4">
      <w:pPr>
        <w:spacing w:line="276" w:lineRule="auto"/>
        <w:rPr>
          <w:rFonts w:ascii="Arial" w:hAnsi="Arial" w:cs="Arial"/>
          <w:snapToGrid w:val="0"/>
          <w:color w:val="000000"/>
          <w:sz w:val="22"/>
          <w:szCs w:val="22"/>
        </w:rPr>
      </w:pPr>
      <w:r w:rsidRPr="000F654E">
        <w:rPr>
          <w:rFonts w:ascii="Arial" w:hAnsi="Arial" w:cs="Arial"/>
          <w:snapToGrid w:val="0"/>
          <w:color w:val="000000"/>
          <w:sz w:val="22"/>
          <w:szCs w:val="22"/>
        </w:rPr>
        <w:t>Child (biological, adopted, foster child, stepchild, legal ward, or a child of a person standing </w:t>
      </w:r>
      <w:r w:rsidRPr="000F654E">
        <w:rPr>
          <w:rFonts w:ascii="Arial" w:hAnsi="Arial" w:cs="Arial"/>
          <w:i/>
          <w:iCs/>
          <w:snapToGrid w:val="0"/>
          <w:color w:val="000000"/>
          <w:sz w:val="22"/>
          <w:szCs w:val="22"/>
        </w:rPr>
        <w:t>in loco parentis</w:t>
      </w:r>
      <w:r w:rsidRPr="000F654E">
        <w:rPr>
          <w:rFonts w:ascii="Arial" w:hAnsi="Arial" w:cs="Arial"/>
          <w:snapToGrid w:val="0"/>
          <w:color w:val="000000"/>
          <w:sz w:val="22"/>
          <w:szCs w:val="22"/>
        </w:rPr>
        <w:t> who is under eighteen years of age; or eighteen years of age or older and incapable of self-care because of a mental or physical disability); parent (biological or adoptive parent of an employee or an individual who stood </w:t>
      </w:r>
      <w:r w:rsidRPr="000F654E">
        <w:rPr>
          <w:rFonts w:ascii="Arial" w:hAnsi="Arial" w:cs="Arial"/>
          <w:i/>
          <w:iCs/>
          <w:snapToGrid w:val="0"/>
          <w:color w:val="000000"/>
          <w:sz w:val="22"/>
          <w:szCs w:val="22"/>
        </w:rPr>
        <w:t>in loco parentis</w:t>
      </w:r>
      <w:r w:rsidRPr="000F654E">
        <w:rPr>
          <w:rFonts w:ascii="Arial" w:hAnsi="Arial" w:cs="Arial"/>
          <w:snapToGrid w:val="0"/>
          <w:color w:val="000000"/>
          <w:sz w:val="22"/>
          <w:szCs w:val="22"/>
        </w:rPr>
        <w:t> to an employee when the employee was a child); parent-in-law; grandparent; spouse (husband or wife).</w:t>
      </w:r>
    </w:p>
    <w:p w14:paraId="4F7E547B" w14:textId="77777777" w:rsidR="008A21F4" w:rsidRPr="000F654E" w:rsidRDefault="008A21F4" w:rsidP="008A21F4">
      <w:pPr>
        <w:spacing w:line="276" w:lineRule="auto"/>
        <w:rPr>
          <w:rFonts w:ascii="Arial" w:hAnsi="Arial" w:cs="Arial"/>
          <w:snapToGrid w:val="0"/>
          <w:color w:val="000000"/>
          <w:sz w:val="22"/>
          <w:szCs w:val="22"/>
        </w:rPr>
      </w:pPr>
    </w:p>
    <w:p w14:paraId="3C7BC900" w14:textId="77777777" w:rsidR="008A21F4" w:rsidRPr="000F654E" w:rsidRDefault="008A21F4" w:rsidP="008A21F4">
      <w:pPr>
        <w:spacing w:line="276" w:lineRule="auto"/>
        <w:rPr>
          <w:rFonts w:ascii="Arial" w:hAnsi="Arial" w:cs="Arial"/>
          <w:b/>
          <w:bCs/>
          <w:i/>
          <w:iCs/>
          <w:snapToGrid w:val="0"/>
          <w:color w:val="000000"/>
          <w:sz w:val="22"/>
          <w:szCs w:val="22"/>
        </w:rPr>
      </w:pPr>
      <w:r w:rsidRPr="000F654E">
        <w:rPr>
          <w:rFonts w:ascii="Arial" w:hAnsi="Arial" w:cs="Arial"/>
          <w:b/>
          <w:bCs/>
          <w:i/>
          <w:iCs/>
          <w:snapToGrid w:val="0"/>
          <w:color w:val="000000"/>
          <w:sz w:val="22"/>
          <w:szCs w:val="22"/>
        </w:rPr>
        <w:t>Serious Health Condition Definition</w:t>
      </w:r>
    </w:p>
    <w:p w14:paraId="73DAE86D" w14:textId="77777777" w:rsidR="008A21F4" w:rsidRPr="000F654E" w:rsidRDefault="008A21F4" w:rsidP="008A21F4">
      <w:pPr>
        <w:spacing w:line="276" w:lineRule="auto"/>
        <w:rPr>
          <w:rFonts w:ascii="Arial" w:hAnsi="Arial" w:cs="Arial"/>
          <w:b/>
          <w:bCs/>
          <w:i/>
          <w:iCs/>
          <w:snapToGrid w:val="0"/>
          <w:color w:val="000000"/>
          <w:sz w:val="22"/>
          <w:szCs w:val="22"/>
        </w:rPr>
      </w:pPr>
    </w:p>
    <w:p w14:paraId="30139F3A" w14:textId="77777777" w:rsidR="008A21F4" w:rsidRPr="000F654E" w:rsidRDefault="008A21F4" w:rsidP="008A21F4">
      <w:pPr>
        <w:spacing w:line="276" w:lineRule="auto"/>
        <w:rPr>
          <w:rFonts w:ascii="Arial" w:hAnsi="Arial" w:cs="Arial"/>
          <w:snapToGrid w:val="0"/>
          <w:color w:val="000000"/>
          <w:sz w:val="22"/>
          <w:szCs w:val="22"/>
        </w:rPr>
      </w:pPr>
      <w:r w:rsidRPr="000F654E">
        <w:rPr>
          <w:rFonts w:ascii="Arial" w:hAnsi="Arial" w:cs="Arial"/>
          <w:snapToGrid w:val="0"/>
          <w:color w:val="000000"/>
          <w:sz w:val="22"/>
          <w:szCs w:val="22"/>
        </w:rPr>
        <w:t>An illness, injury, impairment, or physical or mental condition that involves any period of incapacity or treatment connected with inpatient care (i.e., an overnight stay) in a hospital, hospice, or residential medical care facility, and any period of incapacity or subsequent treatment or recovery in connection with such inpatient care; or that involves continuing treatment by or under the supervision of a health care provider or a provider of health care services and which includes any period of incapacity (i.e., inability to work, attend school or perform other regular daily activities).</w:t>
      </w:r>
    </w:p>
    <w:p w14:paraId="7BD030D5" w14:textId="77777777" w:rsidR="008A21F4" w:rsidRPr="000F654E" w:rsidRDefault="008A21F4" w:rsidP="008A21F4">
      <w:pPr>
        <w:spacing w:line="276" w:lineRule="auto"/>
        <w:rPr>
          <w:rFonts w:ascii="Arial" w:hAnsi="Arial" w:cs="Arial"/>
          <w:snapToGrid w:val="0"/>
          <w:color w:val="000000"/>
          <w:sz w:val="22"/>
          <w:szCs w:val="22"/>
        </w:rPr>
      </w:pPr>
    </w:p>
    <w:p w14:paraId="7CEE677E" w14:textId="77777777" w:rsidR="008A21F4" w:rsidRPr="000F654E" w:rsidRDefault="008A21F4" w:rsidP="008A21F4">
      <w:pPr>
        <w:spacing w:line="276" w:lineRule="auto"/>
        <w:rPr>
          <w:rFonts w:ascii="Arial" w:hAnsi="Arial" w:cs="Arial"/>
          <w:b/>
          <w:bCs/>
          <w:i/>
          <w:iCs/>
          <w:snapToGrid w:val="0"/>
          <w:color w:val="000000"/>
          <w:sz w:val="22"/>
          <w:szCs w:val="22"/>
        </w:rPr>
      </w:pPr>
      <w:r w:rsidRPr="000F654E">
        <w:rPr>
          <w:rFonts w:ascii="Arial" w:hAnsi="Arial" w:cs="Arial"/>
          <w:b/>
          <w:bCs/>
          <w:i/>
          <w:iCs/>
          <w:snapToGrid w:val="0"/>
          <w:color w:val="000000"/>
          <w:sz w:val="22"/>
          <w:szCs w:val="22"/>
        </w:rPr>
        <w:lastRenderedPageBreak/>
        <w:t>Emergency Condition Definition</w:t>
      </w:r>
    </w:p>
    <w:p w14:paraId="61054063" w14:textId="77777777" w:rsidR="008A21F4" w:rsidRPr="000F654E" w:rsidRDefault="008A21F4" w:rsidP="008A21F4">
      <w:pPr>
        <w:spacing w:line="276" w:lineRule="auto"/>
        <w:rPr>
          <w:rFonts w:ascii="Arial" w:hAnsi="Arial" w:cs="Arial"/>
          <w:b/>
          <w:bCs/>
          <w:i/>
          <w:iCs/>
          <w:snapToGrid w:val="0"/>
          <w:color w:val="000000"/>
          <w:sz w:val="22"/>
          <w:szCs w:val="22"/>
        </w:rPr>
      </w:pPr>
    </w:p>
    <w:p w14:paraId="2183FA4C" w14:textId="77777777" w:rsidR="008A21F4" w:rsidRPr="000F654E" w:rsidRDefault="008A21F4" w:rsidP="008A21F4">
      <w:pPr>
        <w:spacing w:line="276" w:lineRule="auto"/>
        <w:rPr>
          <w:rFonts w:ascii="Arial" w:hAnsi="Arial" w:cs="Arial"/>
          <w:snapToGrid w:val="0"/>
          <w:color w:val="000000"/>
          <w:sz w:val="22"/>
          <w:szCs w:val="22"/>
        </w:rPr>
      </w:pPr>
      <w:r w:rsidRPr="000F654E">
        <w:rPr>
          <w:rFonts w:ascii="Arial" w:hAnsi="Arial" w:cs="Arial"/>
          <w:snapToGrid w:val="0"/>
          <w:color w:val="000000"/>
          <w:sz w:val="22"/>
          <w:szCs w:val="22"/>
        </w:rPr>
        <w:t>A health condition that is a sudden, generally unexpected occurrence or set of circumstances related to an individual’s health demanding immediate action, and is typically very short term in nature.</w:t>
      </w:r>
    </w:p>
    <w:p w14:paraId="5F25F167" w14:textId="77777777" w:rsidR="008A21F4" w:rsidRPr="000F654E" w:rsidRDefault="008A21F4" w:rsidP="008A21F4">
      <w:pPr>
        <w:spacing w:line="276" w:lineRule="auto"/>
        <w:rPr>
          <w:rFonts w:ascii="Arial" w:eastAsia="Calibri" w:hAnsi="Arial" w:cs="Arial"/>
          <w:snapToGrid w:val="0"/>
          <w:color w:val="000000"/>
          <w:sz w:val="22"/>
          <w:szCs w:val="22"/>
        </w:rPr>
      </w:pPr>
    </w:p>
    <w:p w14:paraId="4DAAD44F" w14:textId="77777777" w:rsidR="008A21F4" w:rsidRPr="000F654E" w:rsidRDefault="008A21F4" w:rsidP="008A21F4">
      <w:pPr>
        <w:spacing w:line="276" w:lineRule="auto"/>
        <w:rPr>
          <w:rFonts w:ascii="Arial" w:eastAsia="Calibri" w:hAnsi="Arial" w:cs="Arial"/>
          <w:b/>
          <w:bCs/>
          <w:i/>
          <w:iCs/>
          <w:color w:val="000000"/>
          <w:sz w:val="22"/>
          <w:szCs w:val="22"/>
        </w:rPr>
      </w:pPr>
      <w:r w:rsidRPr="000F654E">
        <w:rPr>
          <w:rFonts w:ascii="Arial" w:eastAsia="Calibri" w:hAnsi="Arial" w:cs="Arial"/>
          <w:b/>
          <w:bCs/>
          <w:i/>
          <w:iCs/>
          <w:color w:val="000000"/>
          <w:sz w:val="22"/>
          <w:szCs w:val="22"/>
        </w:rPr>
        <w:t>Eligibility</w:t>
      </w:r>
    </w:p>
    <w:p w14:paraId="2D9FB703" w14:textId="77777777" w:rsidR="008A21F4" w:rsidRPr="000F654E" w:rsidRDefault="008A21F4" w:rsidP="008A21F4">
      <w:pPr>
        <w:spacing w:line="276" w:lineRule="auto"/>
        <w:rPr>
          <w:rFonts w:ascii="Arial" w:eastAsia="Calibri" w:hAnsi="Arial" w:cs="Arial"/>
          <w:b/>
          <w:bCs/>
          <w:i/>
          <w:iCs/>
          <w:color w:val="000000"/>
          <w:sz w:val="22"/>
          <w:szCs w:val="22"/>
        </w:rPr>
      </w:pPr>
    </w:p>
    <w:p w14:paraId="633CBF89" w14:textId="77777777" w:rsidR="008A21F4" w:rsidRPr="000F654E" w:rsidRDefault="008A21F4" w:rsidP="008A21F4">
      <w:pPr>
        <w:spacing w:line="276" w:lineRule="auto"/>
        <w:rPr>
          <w:rFonts w:ascii="Arial" w:eastAsia="Calibri" w:hAnsi="Arial" w:cs="Arial"/>
          <w:color w:val="000000"/>
          <w:sz w:val="22"/>
          <w:szCs w:val="22"/>
        </w:rPr>
      </w:pPr>
      <w:r w:rsidRPr="000F654E">
        <w:rPr>
          <w:rFonts w:ascii="Arial" w:eastAsia="Calibri" w:hAnsi="Arial" w:cs="Arial"/>
          <w:color w:val="000000"/>
          <w:sz w:val="22"/>
          <w:szCs w:val="22"/>
        </w:rPr>
        <w:t>WA FCA leave is available to any employee, regardless of the number of hours you work or your length of employment.</w:t>
      </w:r>
    </w:p>
    <w:p w14:paraId="2C8CD59E" w14:textId="77777777" w:rsidR="008A21F4" w:rsidRPr="000F654E" w:rsidRDefault="008A21F4" w:rsidP="008A21F4">
      <w:pPr>
        <w:spacing w:line="276" w:lineRule="auto"/>
        <w:rPr>
          <w:rFonts w:ascii="Arial" w:eastAsia="Calibri" w:hAnsi="Arial" w:cs="Arial"/>
          <w:b/>
          <w:bCs/>
          <w:color w:val="000000"/>
          <w:sz w:val="22"/>
          <w:szCs w:val="22"/>
        </w:rPr>
      </w:pPr>
    </w:p>
    <w:p w14:paraId="31EBE8FD" w14:textId="77777777" w:rsidR="008A21F4" w:rsidRPr="000F654E" w:rsidRDefault="008A21F4" w:rsidP="008A21F4">
      <w:pPr>
        <w:spacing w:line="276" w:lineRule="auto"/>
        <w:rPr>
          <w:rFonts w:ascii="Arial" w:eastAsia="Calibri" w:hAnsi="Arial" w:cs="Arial"/>
          <w:b/>
          <w:bCs/>
          <w:i/>
          <w:iCs/>
          <w:color w:val="000000"/>
          <w:sz w:val="22"/>
          <w:szCs w:val="22"/>
        </w:rPr>
      </w:pPr>
      <w:r w:rsidRPr="000F654E">
        <w:rPr>
          <w:rFonts w:ascii="Arial" w:eastAsia="Calibri" w:hAnsi="Arial" w:cs="Arial"/>
          <w:b/>
          <w:bCs/>
          <w:i/>
          <w:iCs/>
          <w:color w:val="000000"/>
          <w:sz w:val="22"/>
          <w:szCs w:val="22"/>
        </w:rPr>
        <w:t>Usage</w:t>
      </w:r>
    </w:p>
    <w:p w14:paraId="4255FC8A" w14:textId="77777777" w:rsidR="008A21F4" w:rsidRPr="000F654E" w:rsidRDefault="008A21F4" w:rsidP="008A21F4">
      <w:pPr>
        <w:spacing w:line="276" w:lineRule="auto"/>
        <w:rPr>
          <w:rFonts w:ascii="Arial" w:eastAsia="Calibri" w:hAnsi="Arial" w:cs="Arial"/>
          <w:b/>
          <w:bCs/>
          <w:color w:val="000000"/>
          <w:sz w:val="22"/>
          <w:szCs w:val="22"/>
        </w:rPr>
      </w:pPr>
    </w:p>
    <w:p w14:paraId="77C610AC" w14:textId="77777777" w:rsidR="008A21F4" w:rsidRPr="000F654E" w:rsidRDefault="008A21F4" w:rsidP="008A21F4">
      <w:pPr>
        <w:spacing w:line="276" w:lineRule="auto"/>
        <w:rPr>
          <w:rFonts w:ascii="Arial" w:eastAsia="Calibri" w:hAnsi="Arial" w:cs="Arial"/>
          <w:color w:val="000000"/>
          <w:sz w:val="22"/>
          <w:szCs w:val="22"/>
        </w:rPr>
      </w:pPr>
      <w:r w:rsidRPr="000F654E">
        <w:rPr>
          <w:rFonts w:ascii="Arial" w:eastAsia="Calibri" w:hAnsi="Arial" w:cs="Arial"/>
          <w:color w:val="000000"/>
          <w:sz w:val="22"/>
          <w:szCs w:val="22"/>
        </w:rPr>
        <w:t>Employees may use any combination of the following for FCA leave:</w:t>
      </w:r>
    </w:p>
    <w:p w14:paraId="047A8ED3" w14:textId="77777777" w:rsidR="008A21F4" w:rsidRPr="000F654E" w:rsidRDefault="008A21F4" w:rsidP="008A21F4">
      <w:pPr>
        <w:rPr>
          <w:rFonts w:ascii="Arial" w:eastAsia="Calibri" w:hAnsi="Arial" w:cs="Arial"/>
          <w:color w:val="000000"/>
          <w:sz w:val="22"/>
          <w:szCs w:val="22"/>
        </w:rPr>
      </w:pPr>
    </w:p>
    <w:p w14:paraId="6CC5DD56" w14:textId="77777777" w:rsidR="008A21F4" w:rsidRPr="000F654E" w:rsidRDefault="008A21F4" w:rsidP="008A21F4">
      <w:pPr>
        <w:numPr>
          <w:ilvl w:val="0"/>
          <w:numId w:val="5"/>
        </w:numPr>
        <w:rPr>
          <w:rFonts w:ascii="Arial" w:eastAsia="Calibri" w:hAnsi="Arial" w:cs="Arial"/>
          <w:sz w:val="22"/>
          <w:szCs w:val="22"/>
        </w:rPr>
      </w:pPr>
      <w:r w:rsidRPr="000F654E">
        <w:rPr>
          <w:rFonts w:ascii="Arial" w:eastAsia="Calibri" w:hAnsi="Arial" w:cs="Arial"/>
          <w:sz w:val="22"/>
          <w:szCs w:val="22"/>
        </w:rPr>
        <w:t>Sick leave</w:t>
      </w:r>
    </w:p>
    <w:p w14:paraId="7DC91E48" w14:textId="77777777" w:rsidR="008A21F4" w:rsidRPr="000F654E" w:rsidRDefault="008A21F4" w:rsidP="008A21F4">
      <w:pPr>
        <w:numPr>
          <w:ilvl w:val="0"/>
          <w:numId w:val="5"/>
        </w:numPr>
        <w:rPr>
          <w:rFonts w:ascii="Arial" w:eastAsia="Calibri" w:hAnsi="Arial" w:cs="Arial"/>
          <w:sz w:val="22"/>
          <w:szCs w:val="22"/>
        </w:rPr>
      </w:pPr>
      <w:r w:rsidRPr="000F654E">
        <w:rPr>
          <w:rFonts w:ascii="Arial" w:eastAsia="Calibri" w:hAnsi="Arial" w:cs="Arial"/>
          <w:sz w:val="22"/>
          <w:szCs w:val="22"/>
        </w:rPr>
        <w:t>Vacation/PTO</w:t>
      </w:r>
    </w:p>
    <w:p w14:paraId="279B9BAE" w14:textId="77777777" w:rsidR="008A21F4" w:rsidRPr="000F654E" w:rsidRDefault="008A21F4" w:rsidP="008A21F4">
      <w:pPr>
        <w:numPr>
          <w:ilvl w:val="0"/>
          <w:numId w:val="5"/>
        </w:numPr>
        <w:rPr>
          <w:rFonts w:ascii="Arial" w:eastAsia="Calibri" w:hAnsi="Arial" w:cs="Arial"/>
          <w:sz w:val="22"/>
          <w:szCs w:val="22"/>
        </w:rPr>
      </w:pPr>
      <w:r w:rsidRPr="000F654E">
        <w:rPr>
          <w:rFonts w:ascii="Arial" w:eastAsia="Calibri" w:hAnsi="Arial" w:cs="Arial"/>
          <w:sz w:val="22"/>
          <w:szCs w:val="22"/>
        </w:rPr>
        <w:t>Personal holidays</w:t>
      </w:r>
    </w:p>
    <w:p w14:paraId="17B02EDE" w14:textId="77777777" w:rsidR="008A21F4" w:rsidRPr="000F654E" w:rsidRDefault="008A21F4" w:rsidP="008A21F4">
      <w:pPr>
        <w:spacing w:line="276" w:lineRule="auto"/>
        <w:rPr>
          <w:rFonts w:ascii="Arial" w:hAnsi="Arial" w:cs="Arial"/>
          <w:color w:val="000000"/>
          <w:sz w:val="22"/>
          <w:szCs w:val="22"/>
        </w:rPr>
      </w:pPr>
    </w:p>
    <w:p w14:paraId="5D02A728" w14:textId="77777777" w:rsidR="008A21F4" w:rsidRPr="000F654E" w:rsidRDefault="008A21F4" w:rsidP="008A21F4">
      <w:pPr>
        <w:spacing w:line="276" w:lineRule="auto"/>
        <w:rPr>
          <w:rFonts w:ascii="Arial" w:hAnsi="Arial" w:cs="Arial"/>
          <w:color w:val="000000"/>
          <w:sz w:val="22"/>
          <w:szCs w:val="22"/>
        </w:rPr>
      </w:pPr>
      <w:r w:rsidRPr="000F654E">
        <w:rPr>
          <w:rFonts w:ascii="Arial" w:hAnsi="Arial" w:cs="Arial"/>
          <w:color w:val="000000"/>
          <w:sz w:val="22"/>
          <w:szCs w:val="22"/>
        </w:rPr>
        <w:t>The amount of WA FCA leave an employee may utilize is limited to the amount of accrued paid leave they have available and such leave taken under FCA will be subtracted from the employee’s accrued paid leave balance.</w:t>
      </w:r>
      <w:r w:rsidRPr="000F654E">
        <w:rPr>
          <w:rFonts w:ascii="Arial" w:hAnsi="Arial" w:cs="Arial"/>
          <w:color w:val="000000"/>
          <w:sz w:val="22"/>
          <w:szCs w:val="22"/>
        </w:rPr>
        <w:br/>
      </w:r>
    </w:p>
    <w:p w14:paraId="49D37F53" w14:textId="77777777" w:rsidR="008A21F4" w:rsidRPr="000F654E" w:rsidRDefault="008A21F4" w:rsidP="008A21F4">
      <w:pPr>
        <w:spacing w:line="276" w:lineRule="auto"/>
        <w:rPr>
          <w:rFonts w:ascii="Arial" w:hAnsi="Arial" w:cs="Arial"/>
          <w:b/>
          <w:bCs/>
          <w:i/>
          <w:iCs/>
          <w:color w:val="000000"/>
          <w:sz w:val="22"/>
          <w:szCs w:val="22"/>
        </w:rPr>
      </w:pPr>
      <w:r w:rsidRPr="000F654E">
        <w:rPr>
          <w:rFonts w:ascii="Arial" w:hAnsi="Arial" w:cs="Arial"/>
          <w:b/>
          <w:bCs/>
          <w:i/>
          <w:iCs/>
          <w:color w:val="000000"/>
          <w:sz w:val="22"/>
          <w:szCs w:val="22"/>
        </w:rPr>
        <w:t>Notification</w:t>
      </w:r>
    </w:p>
    <w:p w14:paraId="51C86C2B" w14:textId="77777777" w:rsidR="008A21F4" w:rsidRPr="000F654E" w:rsidRDefault="008A21F4" w:rsidP="008A21F4">
      <w:pPr>
        <w:rPr>
          <w:rFonts w:ascii="Arial" w:hAnsi="Arial" w:cs="Arial"/>
          <w:b/>
          <w:bCs/>
          <w:i/>
          <w:iCs/>
          <w:color w:val="000000"/>
          <w:sz w:val="22"/>
          <w:szCs w:val="22"/>
        </w:rPr>
      </w:pPr>
    </w:p>
    <w:p w14:paraId="10EA7F5F" w14:textId="77777777" w:rsidR="008A21F4" w:rsidRPr="000F654E" w:rsidRDefault="008A21F4" w:rsidP="008A21F4">
      <w:pPr>
        <w:spacing w:line="276" w:lineRule="auto"/>
        <w:rPr>
          <w:rFonts w:ascii="Arial" w:hAnsi="Arial" w:cs="Arial"/>
          <w:color w:val="000000"/>
          <w:sz w:val="22"/>
          <w:szCs w:val="22"/>
        </w:rPr>
      </w:pPr>
      <w:r w:rsidRPr="000F654E">
        <w:rPr>
          <w:rFonts w:ascii="Arial" w:hAnsi="Arial" w:cs="Arial"/>
          <w:color w:val="000000"/>
          <w:sz w:val="22"/>
          <w:szCs w:val="22"/>
        </w:rPr>
        <w:t xml:space="preserve">Employees requesting FCA leave must adhere to the notice requirements outlined in the Company’s specific policy governing the type of paid leave being used </w:t>
      </w:r>
      <w:r w:rsidRPr="000F654E">
        <w:rPr>
          <w:rFonts w:ascii="Arial" w:hAnsi="Arial" w:cs="Arial"/>
          <w:i/>
          <w:iCs/>
          <w:color w:val="C00000"/>
          <w:sz w:val="22"/>
          <w:szCs w:val="22"/>
        </w:rPr>
        <w:t>(e.g., Sick Leave Policy, Vacation Policy, PTO Policy).</w:t>
      </w:r>
      <w:r w:rsidRPr="000F654E">
        <w:rPr>
          <w:rFonts w:ascii="Arial" w:hAnsi="Arial" w:cs="Arial"/>
          <w:i/>
          <w:iCs/>
          <w:color w:val="C00000"/>
          <w:sz w:val="22"/>
          <w:szCs w:val="22"/>
          <w:vertAlign w:val="superscript"/>
        </w:rPr>
        <w:footnoteReference w:id="1"/>
      </w:r>
    </w:p>
    <w:p w14:paraId="0F251982" w14:textId="77777777" w:rsidR="008A21F4" w:rsidRPr="000F654E" w:rsidRDefault="008A21F4" w:rsidP="008A21F4">
      <w:pPr>
        <w:rPr>
          <w:rFonts w:ascii="Arial" w:hAnsi="Arial" w:cs="Arial"/>
          <w:b/>
          <w:bCs/>
          <w:i/>
          <w:iCs/>
          <w:color w:val="000000"/>
          <w:sz w:val="22"/>
          <w:szCs w:val="22"/>
        </w:rPr>
      </w:pPr>
    </w:p>
    <w:p w14:paraId="1D505A55" w14:textId="77777777" w:rsidR="008A21F4" w:rsidRPr="000F654E" w:rsidRDefault="008A21F4" w:rsidP="008A21F4">
      <w:pPr>
        <w:spacing w:line="276" w:lineRule="auto"/>
        <w:rPr>
          <w:rFonts w:ascii="Arial" w:hAnsi="Arial" w:cs="Arial"/>
          <w:color w:val="000000"/>
          <w:sz w:val="22"/>
          <w:szCs w:val="22"/>
        </w:rPr>
      </w:pPr>
      <w:r w:rsidRPr="000F654E">
        <w:rPr>
          <w:rFonts w:ascii="Arial" w:hAnsi="Arial" w:cs="Arial"/>
          <w:color w:val="000000"/>
          <w:sz w:val="22"/>
          <w:szCs w:val="22"/>
        </w:rPr>
        <w:t>If the specific paid leave policy being utilized (such as holiday pay) does not outline notice requirements, employees should provide advance notice to their supervisor as soon as the need for leave is known. When leave is unforeseeable, the employee should notify their supervisor or Human Resources as soon as practicable</w:t>
      </w:r>
    </w:p>
    <w:p w14:paraId="2EA63B02" w14:textId="77777777" w:rsidR="008A21F4" w:rsidRPr="000F654E" w:rsidRDefault="008A21F4" w:rsidP="008A21F4">
      <w:pPr>
        <w:spacing w:line="276" w:lineRule="auto"/>
        <w:rPr>
          <w:rFonts w:ascii="Arial" w:eastAsia="Calibri" w:hAnsi="Arial" w:cs="Arial"/>
          <w:b/>
          <w:bCs/>
          <w:i/>
          <w:iCs/>
          <w:color w:val="000000"/>
          <w:sz w:val="22"/>
          <w:szCs w:val="22"/>
        </w:rPr>
      </w:pPr>
    </w:p>
    <w:p w14:paraId="3A32842F" w14:textId="77777777" w:rsidR="008A21F4" w:rsidRPr="000F654E" w:rsidRDefault="008A21F4" w:rsidP="008A21F4">
      <w:pPr>
        <w:spacing w:line="276" w:lineRule="auto"/>
        <w:rPr>
          <w:rFonts w:ascii="Arial" w:eastAsia="Calibri" w:hAnsi="Arial" w:cs="Arial"/>
          <w:b/>
          <w:bCs/>
          <w:i/>
          <w:iCs/>
          <w:color w:val="000000"/>
          <w:sz w:val="22"/>
          <w:szCs w:val="22"/>
        </w:rPr>
      </w:pPr>
      <w:r w:rsidRPr="000F654E">
        <w:rPr>
          <w:rFonts w:ascii="Arial" w:eastAsia="Calibri" w:hAnsi="Arial" w:cs="Arial"/>
          <w:b/>
          <w:bCs/>
          <w:i/>
          <w:iCs/>
          <w:color w:val="000000"/>
          <w:sz w:val="22"/>
          <w:szCs w:val="22"/>
        </w:rPr>
        <w:t>Protections</w:t>
      </w:r>
    </w:p>
    <w:p w14:paraId="3F05CB5A" w14:textId="77777777" w:rsidR="008A21F4" w:rsidRPr="000F654E" w:rsidRDefault="008A21F4" w:rsidP="008A21F4">
      <w:pPr>
        <w:rPr>
          <w:rFonts w:ascii="Arial" w:hAnsi="Arial" w:cs="Arial"/>
          <w:b/>
          <w:bCs/>
          <w:i/>
          <w:iCs/>
          <w:color w:val="000000"/>
          <w:sz w:val="22"/>
          <w:szCs w:val="22"/>
        </w:rPr>
      </w:pPr>
    </w:p>
    <w:p w14:paraId="5C571216" w14:textId="77777777" w:rsidR="008A21F4" w:rsidRPr="000F654E" w:rsidRDefault="008A21F4" w:rsidP="008A21F4">
      <w:pPr>
        <w:spacing w:line="276" w:lineRule="auto"/>
        <w:rPr>
          <w:rFonts w:ascii="Arial" w:eastAsia="Calibri" w:hAnsi="Arial" w:cs="Arial"/>
          <w:color w:val="000000"/>
          <w:sz w:val="22"/>
          <w:szCs w:val="22"/>
        </w:rPr>
      </w:pPr>
      <w:r w:rsidRPr="000F654E">
        <w:rPr>
          <w:rFonts w:ascii="Arial" w:eastAsia="Calibri" w:hAnsi="Arial" w:cs="Arial"/>
          <w:color w:val="000000"/>
          <w:sz w:val="22"/>
          <w:szCs w:val="22"/>
        </w:rPr>
        <w:t xml:space="preserve">Washington’s FCA does not provide an employee with job protection by itself. However, job protection may be available if FCA is used concurrently with other job-protected leave laws such as </w:t>
      </w:r>
      <w:r w:rsidRPr="000F654E">
        <w:rPr>
          <w:rFonts w:ascii="Arial" w:eastAsia="Calibri" w:hAnsi="Arial" w:cs="Arial"/>
          <w:i/>
          <w:iCs/>
          <w:color w:val="C00000"/>
          <w:sz w:val="22"/>
          <w:szCs w:val="22"/>
        </w:rPr>
        <w:t>Washington’s PFML, Washington State and City Sick Time Laws, and FMLA.</w:t>
      </w:r>
      <w:r w:rsidRPr="000F654E">
        <w:rPr>
          <w:rFonts w:ascii="Arial" w:eastAsia="Calibri" w:hAnsi="Arial" w:cs="Arial"/>
          <w:i/>
          <w:iCs/>
          <w:color w:val="C00000"/>
          <w:sz w:val="22"/>
          <w:szCs w:val="22"/>
          <w:vertAlign w:val="superscript"/>
        </w:rPr>
        <w:footnoteReference w:id="2"/>
      </w:r>
    </w:p>
    <w:p w14:paraId="135DC065" w14:textId="77777777" w:rsidR="008A21F4" w:rsidRPr="000F654E" w:rsidRDefault="008A21F4" w:rsidP="008A21F4">
      <w:pPr>
        <w:rPr>
          <w:rFonts w:ascii="Arial" w:hAnsi="Arial" w:cs="Arial"/>
          <w:b/>
          <w:bCs/>
          <w:i/>
          <w:iCs/>
          <w:color w:val="000000"/>
          <w:sz w:val="22"/>
          <w:szCs w:val="22"/>
        </w:rPr>
      </w:pPr>
    </w:p>
    <w:p w14:paraId="7399A2FE" w14:textId="2F685BB7" w:rsidR="0041464A" w:rsidRPr="008A21F4" w:rsidRDefault="008A21F4" w:rsidP="008A21F4">
      <w:pPr>
        <w:spacing w:line="276" w:lineRule="auto"/>
        <w:rPr>
          <w:rFonts w:ascii="Arial" w:eastAsia="Calibri" w:hAnsi="Arial" w:cs="Arial"/>
          <w:color w:val="000000"/>
          <w:sz w:val="22"/>
          <w:szCs w:val="22"/>
        </w:rPr>
      </w:pPr>
      <w:r w:rsidRPr="000F654E">
        <w:rPr>
          <w:rFonts w:ascii="Arial" w:eastAsia="Calibri" w:hAnsi="Arial" w:cs="Arial"/>
          <w:color w:val="000000"/>
          <w:sz w:val="22"/>
          <w:szCs w:val="22"/>
        </w:rPr>
        <w:t>The Company will not discriminate or retaliate against employees for exercising or attempting to exercise any right under Washington’s FCA or for having filed a complaint, testified, or assisted any proceeding under the FCA</w:t>
      </w:r>
      <w:r>
        <w:rPr>
          <w:rFonts w:ascii="Arial" w:eastAsia="Calibri" w:hAnsi="Arial" w:cs="Arial"/>
          <w:color w:val="000000"/>
          <w:sz w:val="22"/>
          <w:szCs w:val="22"/>
        </w:rPr>
        <w:t>.</w:t>
      </w:r>
    </w:p>
    <w:sectPr w:rsidR="0041464A" w:rsidRPr="008A21F4" w:rsidSect="00C97681">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19C12ED0"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3C50A2">
      <w:rPr>
        <w:rFonts w:ascii="Arial" w:hAnsi="Arial" w:cs="Arial"/>
        <w:sz w:val="20"/>
      </w:rPr>
      <w:tab/>
    </w:r>
    <w:r w:rsidR="003C50A2">
      <w:rPr>
        <w:rFonts w:ascii="Arial" w:hAnsi="Arial" w:cs="Arial"/>
        <w:sz w:val="20"/>
      </w:rPr>
      <w:tab/>
    </w:r>
    <w:r w:rsidR="008A21F4">
      <w:rPr>
        <w:rFonts w:ascii="Arial" w:hAnsi="Arial" w:cs="Arial"/>
        <w:sz w:val="20"/>
      </w:rPr>
      <w:t>5</w:t>
    </w:r>
    <w:r w:rsidR="003C50A2">
      <w:rPr>
        <w:rFonts w:ascii="Arial" w:hAnsi="Arial" w:cs="Arial"/>
        <w:sz w:val="20"/>
      </w:rPr>
      <w:t>/202</w:t>
    </w:r>
    <w:r w:rsidR="008A21F4">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 w:id="1">
    <w:p w14:paraId="40E845F3" w14:textId="77777777" w:rsidR="008A21F4" w:rsidRPr="00136E31" w:rsidRDefault="008A21F4" w:rsidP="008A21F4">
      <w:pPr>
        <w:pStyle w:val="FootnoteText"/>
        <w:rPr>
          <w:rFonts w:ascii="Arial" w:hAnsi="Arial" w:cs="Arial"/>
          <w:sz w:val="18"/>
          <w:szCs w:val="18"/>
        </w:rPr>
      </w:pPr>
      <w:r w:rsidRPr="00136E31">
        <w:rPr>
          <w:rStyle w:val="FootnoteReference"/>
          <w:rFonts w:ascii="Arial" w:hAnsi="Arial" w:cs="Arial"/>
          <w:sz w:val="18"/>
          <w:szCs w:val="18"/>
        </w:rPr>
        <w:footnoteRef/>
      </w:r>
      <w:r w:rsidRPr="00136E31">
        <w:rPr>
          <w:rFonts w:ascii="Arial" w:hAnsi="Arial" w:cs="Arial"/>
          <w:sz w:val="18"/>
          <w:szCs w:val="18"/>
        </w:rPr>
        <w:t xml:space="preserve"> </w:t>
      </w:r>
      <w:r w:rsidRPr="00136E31">
        <w:rPr>
          <w:rFonts w:ascii="Arial" w:hAnsi="Arial" w:cs="Arial"/>
          <w:i/>
          <w:iCs/>
          <w:sz w:val="18"/>
          <w:szCs w:val="18"/>
        </w:rPr>
        <w:t>Adjust to match all Company-provided paid time off.</w:t>
      </w:r>
    </w:p>
  </w:footnote>
  <w:footnote w:id="2">
    <w:p w14:paraId="29D04F93" w14:textId="77777777" w:rsidR="008A21F4" w:rsidRPr="00136E31" w:rsidRDefault="008A21F4" w:rsidP="008A21F4">
      <w:pPr>
        <w:pStyle w:val="FootnoteText"/>
        <w:rPr>
          <w:rFonts w:ascii="Arial" w:hAnsi="Arial" w:cs="Arial"/>
          <w:i/>
          <w:iCs/>
          <w:sz w:val="18"/>
          <w:szCs w:val="18"/>
        </w:rPr>
      </w:pPr>
      <w:r w:rsidRPr="00136E31">
        <w:rPr>
          <w:rStyle w:val="FootnoteReference"/>
          <w:rFonts w:ascii="Arial" w:hAnsi="Arial" w:cs="Arial"/>
          <w:i/>
          <w:iCs/>
          <w:sz w:val="18"/>
          <w:szCs w:val="18"/>
        </w:rPr>
        <w:footnoteRef/>
      </w:r>
      <w:r w:rsidRPr="00136E31">
        <w:rPr>
          <w:rFonts w:ascii="Arial" w:hAnsi="Arial" w:cs="Arial"/>
          <w:i/>
          <w:iCs/>
          <w:sz w:val="18"/>
          <w:szCs w:val="18"/>
        </w:rPr>
        <w:t xml:space="preserve"> Adjust to match statutory leave policies based on employer size and location.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6FE3"/>
    <w:multiLevelType w:val="hybridMultilevel"/>
    <w:tmpl w:val="4846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321DC3"/>
    <w:multiLevelType w:val="multilevel"/>
    <w:tmpl w:val="FFFFFFFF"/>
    <w:lvl w:ilvl="0">
      <w:start w:val="1"/>
      <w:numFmt w:val="bullet"/>
      <w:lvlText w:val="¡"/>
      <w:lvlJc w:val="left"/>
      <w:pPr>
        <w:ind w:left="720" w:hanging="360"/>
      </w:pPr>
      <w:rPr>
        <w:rFonts w:ascii="Wingdings 2" w:hAnsi="Wingdings 2" w:hint="default"/>
        <w:b w:val="0"/>
        <w:i w:val="0"/>
        <w:color w:val="auto"/>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15:restartNumberingAfterBreak="0">
    <w:nsid w:val="7A1A7D01"/>
    <w:multiLevelType w:val="multilevel"/>
    <w:tmpl w:val="E00C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475674">
    <w:abstractNumId w:val="0"/>
  </w:num>
  <w:num w:numId="2" w16cid:durableId="1610576989">
    <w:abstractNumId w:val="1"/>
  </w:num>
  <w:num w:numId="3" w16cid:durableId="1658412398">
    <w:abstractNumId w:val="2"/>
  </w:num>
  <w:num w:numId="4" w16cid:durableId="1392844356">
    <w:abstractNumId w:val="4"/>
  </w:num>
  <w:num w:numId="5" w16cid:durableId="163101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056500"/>
    <w:rsid w:val="00101683"/>
    <w:rsid w:val="00110B7B"/>
    <w:rsid w:val="00143594"/>
    <w:rsid w:val="001C68B2"/>
    <w:rsid w:val="00231FA5"/>
    <w:rsid w:val="002763E2"/>
    <w:rsid w:val="002D49D2"/>
    <w:rsid w:val="003C50A2"/>
    <w:rsid w:val="0041464A"/>
    <w:rsid w:val="004D5324"/>
    <w:rsid w:val="004F4FEA"/>
    <w:rsid w:val="005E1291"/>
    <w:rsid w:val="00621545"/>
    <w:rsid w:val="00695C12"/>
    <w:rsid w:val="0071114F"/>
    <w:rsid w:val="00775EDE"/>
    <w:rsid w:val="008A21F4"/>
    <w:rsid w:val="008F2F04"/>
    <w:rsid w:val="0095710D"/>
    <w:rsid w:val="009E7F74"/>
    <w:rsid w:val="00B025BD"/>
    <w:rsid w:val="00B32212"/>
    <w:rsid w:val="00BA7B9C"/>
    <w:rsid w:val="00BC6AE9"/>
    <w:rsid w:val="00BF2CC4"/>
    <w:rsid w:val="00C97681"/>
    <w:rsid w:val="00D145D8"/>
    <w:rsid w:val="00D238F5"/>
    <w:rsid w:val="00D9219A"/>
    <w:rsid w:val="00DD670D"/>
    <w:rsid w:val="00E31021"/>
    <w:rsid w:val="00E445FC"/>
    <w:rsid w:val="00E9446F"/>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F2F04"/>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next w:val="Normal"/>
    <w:link w:val="Heading2Char"/>
    <w:semiHidden/>
    <w:unhideWhenUsed/>
    <w:qFormat/>
    <w:rsid w:val="004146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 w:type="character" w:customStyle="1" w:styleId="Heading1Char">
    <w:name w:val="Heading 1 Char"/>
    <w:basedOn w:val="DefaultParagraphFont"/>
    <w:link w:val="Heading1"/>
    <w:uiPriority w:val="9"/>
    <w:rsid w:val="008F2F04"/>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rsid w:val="008F2F04"/>
    <w:rPr>
      <w:color w:val="0000FF"/>
      <w:u w:val="single"/>
    </w:rPr>
  </w:style>
  <w:style w:type="paragraph" w:styleId="ListParagraph">
    <w:name w:val="List Paragraph"/>
    <w:basedOn w:val="Normal"/>
    <w:uiPriority w:val="34"/>
    <w:qFormat/>
    <w:rsid w:val="008F2F04"/>
    <w:pPr>
      <w:spacing w:after="160" w:line="256" w:lineRule="auto"/>
      <w:ind w:left="720"/>
      <w:contextualSpacing/>
    </w:pPr>
    <w:rPr>
      <w:rFonts w:asciiTheme="minorHAnsi" w:eastAsiaTheme="minorHAnsi" w:hAnsiTheme="minorHAnsi" w:cstheme="minorBidi"/>
      <w:sz w:val="22"/>
      <w:szCs w:val="22"/>
    </w:rPr>
  </w:style>
  <w:style w:type="character" w:customStyle="1" w:styleId="DWTNormChar">
    <w:name w:val="DWTNorm Char"/>
    <w:link w:val="DWTNorm"/>
    <w:locked/>
    <w:rsid w:val="008F2F04"/>
    <w:rPr>
      <w:sz w:val="24"/>
    </w:rPr>
  </w:style>
  <w:style w:type="paragraph" w:customStyle="1" w:styleId="DWTNorm">
    <w:name w:val="DWTNorm"/>
    <w:basedOn w:val="Normal"/>
    <w:link w:val="DWTNormChar"/>
    <w:qFormat/>
    <w:rsid w:val="008F2F04"/>
    <w:pPr>
      <w:spacing w:after="240"/>
      <w:jc w:val="both"/>
    </w:pPr>
  </w:style>
  <w:style w:type="character" w:customStyle="1" w:styleId="Heading2Char">
    <w:name w:val="Heading 2 Char"/>
    <w:basedOn w:val="DefaultParagraphFont"/>
    <w:link w:val="Heading2"/>
    <w:semiHidden/>
    <w:rsid w:val="0041464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1464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41464A"/>
    <w:rPr>
      <w:color w:val="605E5C"/>
      <w:shd w:val="clear" w:color="auto" w:fill="E1DFDD"/>
    </w:rPr>
  </w:style>
  <w:style w:type="paragraph" w:styleId="FootnoteText">
    <w:name w:val="footnote text"/>
    <w:basedOn w:val="Normal"/>
    <w:link w:val="FootnoteTextChar"/>
    <w:rsid w:val="008A21F4"/>
    <w:rPr>
      <w:sz w:val="20"/>
    </w:rPr>
  </w:style>
  <w:style w:type="character" w:customStyle="1" w:styleId="FootnoteTextChar">
    <w:name w:val="Footnote Text Char"/>
    <w:basedOn w:val="DefaultParagraphFont"/>
    <w:link w:val="FootnoteText"/>
    <w:rsid w:val="008A21F4"/>
  </w:style>
  <w:style w:type="character" w:styleId="FootnoteReference">
    <w:name w:val="footnote reference"/>
    <w:rsid w:val="008A2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Caitlin Egeck</cp:lastModifiedBy>
  <cp:revision>7</cp:revision>
  <cp:lastPrinted>2010-06-23T21:58:00Z</cp:lastPrinted>
  <dcterms:created xsi:type="dcterms:W3CDTF">2023-03-15T20:13:00Z</dcterms:created>
  <dcterms:modified xsi:type="dcterms:W3CDTF">2025-05-03T00:23:00Z</dcterms:modified>
</cp:coreProperties>
</file>