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D1C0B" w14:textId="1DEB56AD" w:rsidR="00C356E2" w:rsidRPr="00DE601A" w:rsidRDefault="00193219" w:rsidP="00C356E2">
      <w:pPr>
        <w:spacing w:line="240" w:lineRule="auto"/>
        <w:rPr>
          <w:rFonts w:eastAsia="DFKai-SB" w:cs="Arial"/>
          <w:b/>
          <w:color w:val="1D2C4C"/>
          <w:sz w:val="36"/>
        </w:rPr>
      </w:pPr>
      <w:r>
        <w:rPr>
          <w:rFonts w:eastAsia="DFKai-SB" w:cs="Arial"/>
          <w:b/>
          <w:color w:val="1D2C4C"/>
          <w:sz w:val="60"/>
          <w:szCs w:val="60"/>
        </w:rPr>
        <w:t>Pay-</w:t>
      </w:r>
      <w:r w:rsidR="00614E9D">
        <w:rPr>
          <w:rFonts w:eastAsia="DFKai-SB" w:cs="Arial"/>
          <w:b/>
          <w:color w:val="1D2C4C"/>
          <w:sz w:val="60"/>
          <w:szCs w:val="60"/>
        </w:rPr>
        <w:t>f</w:t>
      </w:r>
      <w:r>
        <w:rPr>
          <w:rFonts w:eastAsia="DFKai-SB" w:cs="Arial"/>
          <w:b/>
          <w:color w:val="1D2C4C"/>
          <w:sz w:val="60"/>
          <w:szCs w:val="60"/>
        </w:rPr>
        <w:t>or-Performance Guide</w:t>
      </w:r>
    </w:p>
    <w:p w14:paraId="2CE7B854" w14:textId="3A0D4C97" w:rsidR="001B584B" w:rsidRPr="009F66A4" w:rsidRDefault="001B584B" w:rsidP="001B584B">
      <w:pPr>
        <w:spacing w:line="240" w:lineRule="auto"/>
        <w:rPr>
          <w:b/>
          <w:bCs/>
          <w:color w:val="002060"/>
        </w:rPr>
      </w:pPr>
    </w:p>
    <w:p w14:paraId="2B40096F" w14:textId="52B6B33A" w:rsidR="001B584B" w:rsidRPr="009F66A4" w:rsidRDefault="001B584B" w:rsidP="001B584B">
      <w:pPr>
        <w:spacing w:line="240" w:lineRule="auto"/>
        <w:rPr>
          <w:b/>
          <w:bCs/>
          <w:color w:val="002060"/>
        </w:rPr>
      </w:pPr>
    </w:p>
    <w:p w14:paraId="0EE1780C" w14:textId="77777777" w:rsidR="00193219" w:rsidRDefault="00193219" w:rsidP="00193219">
      <w:pPr>
        <w:rPr>
          <w:rFonts w:cs="Arial"/>
        </w:rPr>
      </w:pPr>
      <w:r w:rsidRPr="00193219">
        <w:rPr>
          <w:rFonts w:cs="Arial"/>
        </w:rPr>
        <w:t xml:space="preserve">Pay-for-Performance is a compensation framework designed to reward employees based on their job performance. Currently, over 90% of U.S. organizations incorporate this approach into their employee recognition programs. </w:t>
      </w:r>
    </w:p>
    <w:p w14:paraId="4AF8EFD6" w14:textId="77777777" w:rsidR="00193219" w:rsidRPr="00193219" w:rsidRDefault="00193219" w:rsidP="00193219">
      <w:pPr>
        <w:rPr>
          <w:rFonts w:cs="Arial"/>
        </w:rPr>
      </w:pPr>
    </w:p>
    <w:p w14:paraId="7AC70B05" w14:textId="77777777" w:rsidR="00193219" w:rsidRPr="00193219" w:rsidRDefault="00193219" w:rsidP="00193219">
      <w:pPr>
        <w:spacing w:line="240" w:lineRule="auto"/>
        <w:rPr>
          <w:rFonts w:cs="Arial"/>
          <w:b/>
          <w:bCs/>
          <w:color w:val="1D2C49"/>
          <w:sz w:val="36"/>
          <w:szCs w:val="36"/>
        </w:rPr>
      </w:pPr>
      <w:r w:rsidRPr="00193219">
        <w:rPr>
          <w:rFonts w:cs="Arial"/>
          <w:b/>
          <w:bCs/>
          <w:color w:val="1D2C49"/>
          <w:sz w:val="36"/>
          <w:szCs w:val="36"/>
        </w:rPr>
        <w:t>The Purpose</w:t>
      </w:r>
    </w:p>
    <w:p w14:paraId="7CB2A606" w14:textId="77777777" w:rsidR="00193219" w:rsidRDefault="00193219" w:rsidP="00193219">
      <w:pPr>
        <w:spacing w:after="60"/>
        <w:rPr>
          <w:rFonts w:eastAsia="Times New Roman" w:cs="Arial"/>
        </w:rPr>
      </w:pPr>
    </w:p>
    <w:p w14:paraId="40FEB487" w14:textId="7952E89C" w:rsidR="00193219" w:rsidRPr="00193219" w:rsidRDefault="00193219" w:rsidP="00193219">
      <w:pPr>
        <w:numPr>
          <w:ilvl w:val="0"/>
          <w:numId w:val="8"/>
        </w:numPr>
        <w:spacing w:after="60"/>
        <w:ind w:left="360"/>
        <w:rPr>
          <w:rFonts w:eastAsia="Times New Roman" w:cs="Arial"/>
        </w:rPr>
      </w:pPr>
      <w:r w:rsidRPr="00193219">
        <w:rPr>
          <w:rFonts w:eastAsia="Times New Roman" w:cs="Arial"/>
        </w:rPr>
        <w:t>Pay-for-Performance aligns employee goals with organizational objectives by linking compensation to performance outcomes.</w:t>
      </w:r>
    </w:p>
    <w:p w14:paraId="066086AC" w14:textId="77777777" w:rsidR="00193219" w:rsidRPr="00193219" w:rsidRDefault="00193219" w:rsidP="00193219">
      <w:pPr>
        <w:numPr>
          <w:ilvl w:val="0"/>
          <w:numId w:val="8"/>
        </w:numPr>
        <w:spacing w:after="60"/>
        <w:ind w:left="360"/>
        <w:rPr>
          <w:rFonts w:eastAsia="Times New Roman" w:cs="Arial"/>
        </w:rPr>
      </w:pPr>
      <w:r w:rsidRPr="00193219">
        <w:rPr>
          <w:rFonts w:eastAsia="Times New Roman" w:cs="Arial"/>
        </w:rPr>
        <w:t>Drives motivation, productivity, and quality by incentivizing strong job performance.</w:t>
      </w:r>
    </w:p>
    <w:p w14:paraId="401B2FFA" w14:textId="77777777" w:rsidR="00193219" w:rsidRPr="00193219" w:rsidRDefault="00193219" w:rsidP="00193219">
      <w:pPr>
        <w:numPr>
          <w:ilvl w:val="0"/>
          <w:numId w:val="8"/>
        </w:numPr>
        <w:spacing w:after="60"/>
        <w:ind w:left="360"/>
        <w:rPr>
          <w:rFonts w:eastAsia="Times New Roman" w:cs="Arial"/>
        </w:rPr>
      </w:pPr>
      <w:r w:rsidRPr="00193219">
        <w:rPr>
          <w:rFonts w:eastAsia="Times New Roman" w:cs="Arial"/>
        </w:rPr>
        <w:t>Recognizes and rewards top performers, fostering a culture of accountability and excellence.</w:t>
      </w:r>
    </w:p>
    <w:p w14:paraId="6E0C6C33" w14:textId="77777777" w:rsidR="00193219" w:rsidRPr="00193219" w:rsidRDefault="00193219" w:rsidP="00193219">
      <w:pPr>
        <w:numPr>
          <w:ilvl w:val="0"/>
          <w:numId w:val="8"/>
        </w:numPr>
        <w:spacing w:after="60"/>
        <w:ind w:left="360"/>
        <w:rPr>
          <w:rFonts w:eastAsia="Times New Roman" w:cs="Arial"/>
        </w:rPr>
      </w:pPr>
      <w:r w:rsidRPr="00193219">
        <w:rPr>
          <w:rFonts w:eastAsia="Times New Roman" w:cs="Arial"/>
        </w:rPr>
        <w:t>Enhances talent acquisition and retention through competitive, performance-driven rewards.</w:t>
      </w:r>
    </w:p>
    <w:p w14:paraId="6D9FCD52" w14:textId="77777777" w:rsidR="00193219" w:rsidRPr="00193219" w:rsidRDefault="00193219" w:rsidP="00193219">
      <w:pPr>
        <w:numPr>
          <w:ilvl w:val="0"/>
          <w:numId w:val="8"/>
        </w:numPr>
        <w:spacing w:after="60"/>
        <w:ind w:left="360"/>
        <w:rPr>
          <w:rFonts w:eastAsia="Times New Roman" w:cs="Arial"/>
        </w:rPr>
      </w:pPr>
      <w:r w:rsidRPr="00193219">
        <w:rPr>
          <w:rFonts w:eastAsia="Times New Roman" w:cs="Arial"/>
        </w:rPr>
        <w:t>Promotes continuous improvement through regular feedback and goal-setting processes.</w:t>
      </w:r>
    </w:p>
    <w:p w14:paraId="2694B91A" w14:textId="77777777" w:rsidR="00193219" w:rsidRPr="00193219" w:rsidRDefault="00193219" w:rsidP="00193219">
      <w:pPr>
        <w:numPr>
          <w:ilvl w:val="0"/>
          <w:numId w:val="8"/>
        </w:numPr>
        <w:spacing w:after="60"/>
        <w:ind w:left="360"/>
        <w:rPr>
          <w:rFonts w:eastAsia="Times New Roman" w:cs="Arial"/>
        </w:rPr>
      </w:pPr>
      <w:r w:rsidRPr="00193219">
        <w:rPr>
          <w:rFonts w:eastAsia="Times New Roman" w:cs="Arial"/>
        </w:rPr>
        <w:t>Strengthens organizational competitiveness by enhancing team efficiency and effectiveness.</w:t>
      </w:r>
    </w:p>
    <w:p w14:paraId="328DED18" w14:textId="77777777" w:rsidR="00193219" w:rsidRPr="00193219" w:rsidRDefault="00193219" w:rsidP="00193219">
      <w:pPr>
        <w:numPr>
          <w:ilvl w:val="0"/>
          <w:numId w:val="8"/>
        </w:numPr>
        <w:spacing w:after="60"/>
        <w:ind w:left="360"/>
        <w:rPr>
          <w:rFonts w:eastAsia="Times New Roman" w:cs="Arial"/>
        </w:rPr>
      </w:pPr>
      <w:r w:rsidRPr="00193219">
        <w:rPr>
          <w:rFonts w:eastAsia="Times New Roman" w:cs="Arial"/>
        </w:rPr>
        <w:t>Establishes clear expectations, ensuring transparency in performance evaluation and rewards.</w:t>
      </w:r>
    </w:p>
    <w:p w14:paraId="0E9A2351" w14:textId="77777777" w:rsidR="00193219" w:rsidRDefault="00193219" w:rsidP="00193219">
      <w:pPr>
        <w:spacing w:line="240" w:lineRule="auto"/>
        <w:rPr>
          <w:rFonts w:cs="Arial"/>
          <w:b/>
          <w:bCs/>
          <w:color w:val="1D2C49"/>
          <w:sz w:val="36"/>
          <w:szCs w:val="36"/>
        </w:rPr>
      </w:pPr>
    </w:p>
    <w:p w14:paraId="09CD729C" w14:textId="071D6AE2" w:rsidR="00193219" w:rsidRPr="00193219" w:rsidRDefault="00193219" w:rsidP="00193219">
      <w:pPr>
        <w:spacing w:line="240" w:lineRule="auto"/>
        <w:rPr>
          <w:rFonts w:cs="Arial"/>
          <w:b/>
          <w:bCs/>
          <w:color w:val="1D2C49"/>
          <w:sz w:val="36"/>
          <w:szCs w:val="36"/>
        </w:rPr>
      </w:pPr>
      <w:r w:rsidRPr="00193219">
        <w:rPr>
          <w:rFonts w:cs="Arial"/>
          <w:b/>
          <w:bCs/>
          <w:color w:val="1D2C49"/>
          <w:sz w:val="36"/>
          <w:szCs w:val="36"/>
        </w:rPr>
        <w:t>Merit Increase vs. Pay-for-Performance</w:t>
      </w:r>
    </w:p>
    <w:p w14:paraId="2577ACDA" w14:textId="77777777" w:rsidR="00193219" w:rsidRDefault="00193219" w:rsidP="00193219">
      <w:pPr>
        <w:rPr>
          <w:rFonts w:cs="Arial"/>
        </w:rPr>
      </w:pPr>
    </w:p>
    <w:p w14:paraId="29B289B0" w14:textId="6C983009" w:rsidR="00193219" w:rsidRPr="00193219" w:rsidRDefault="00193219" w:rsidP="00193219">
      <w:pPr>
        <w:rPr>
          <w:rFonts w:cs="Arial"/>
        </w:rPr>
      </w:pPr>
      <w:r w:rsidRPr="00193219">
        <w:rPr>
          <w:rFonts w:cs="Arial"/>
        </w:rPr>
        <w:t>Although the two terms are often used interchangeably, they represent distinct concepts:</w:t>
      </w:r>
    </w:p>
    <w:p w14:paraId="51D7EF84" w14:textId="77777777" w:rsidR="00193219" w:rsidRDefault="00193219" w:rsidP="00193219">
      <w:pPr>
        <w:rPr>
          <w:rFonts w:cs="Arial"/>
          <w:b/>
          <w:bCs/>
        </w:rPr>
      </w:pPr>
    </w:p>
    <w:p w14:paraId="4158F590" w14:textId="7B2EEA1A" w:rsidR="00193219" w:rsidRPr="00193219" w:rsidRDefault="00193219" w:rsidP="00193219">
      <w:pPr>
        <w:rPr>
          <w:rFonts w:cs="Arial"/>
          <w:b/>
          <w:bCs/>
          <w:color w:val="1D2C4C"/>
        </w:rPr>
      </w:pPr>
      <w:r w:rsidRPr="00193219">
        <w:rPr>
          <w:rFonts w:cs="Arial"/>
          <w:b/>
          <w:bCs/>
          <w:color w:val="1D2C4C"/>
        </w:rPr>
        <w:t>Merit Increase</w:t>
      </w:r>
    </w:p>
    <w:p w14:paraId="0CD159E0" w14:textId="232BB03E" w:rsidR="00193219" w:rsidRPr="00193219" w:rsidRDefault="00193219" w:rsidP="00193219">
      <w:pPr>
        <w:numPr>
          <w:ilvl w:val="0"/>
          <w:numId w:val="8"/>
        </w:numPr>
        <w:spacing w:after="60"/>
        <w:ind w:left="360"/>
        <w:rPr>
          <w:rFonts w:eastAsia="Times New Roman" w:cs="Arial"/>
        </w:rPr>
      </w:pPr>
      <w:r w:rsidRPr="00193219">
        <w:rPr>
          <w:rFonts w:eastAsia="Times New Roman" w:cs="Arial"/>
        </w:rPr>
        <w:t>Refers to a salary adjustment, typically granted annually, based on individual performance</w:t>
      </w:r>
      <w:r w:rsidR="00030B99">
        <w:rPr>
          <w:rFonts w:eastAsia="Times New Roman" w:cs="Arial"/>
        </w:rPr>
        <w:t>.</w:t>
      </w:r>
    </w:p>
    <w:p w14:paraId="5671A191" w14:textId="77777777" w:rsidR="00193219" w:rsidRPr="00193219" w:rsidRDefault="00193219" w:rsidP="00193219">
      <w:pPr>
        <w:numPr>
          <w:ilvl w:val="0"/>
          <w:numId w:val="8"/>
        </w:numPr>
        <w:spacing w:after="60"/>
        <w:ind w:left="360"/>
        <w:rPr>
          <w:rFonts w:eastAsia="Times New Roman" w:cs="Arial"/>
        </w:rPr>
      </w:pPr>
      <w:r w:rsidRPr="00193219">
        <w:rPr>
          <w:rFonts w:eastAsia="Times New Roman" w:cs="Arial"/>
        </w:rPr>
        <w:t>Incorporated into base pay and commonly awarded during annual performance reviews.</w:t>
      </w:r>
    </w:p>
    <w:p w14:paraId="6050248C" w14:textId="77777777" w:rsidR="00193219" w:rsidRPr="00193219" w:rsidRDefault="00193219" w:rsidP="00193219">
      <w:pPr>
        <w:numPr>
          <w:ilvl w:val="0"/>
          <w:numId w:val="8"/>
        </w:numPr>
        <w:spacing w:after="60"/>
        <w:ind w:left="360"/>
        <w:rPr>
          <w:rFonts w:eastAsia="Times New Roman" w:cs="Arial"/>
        </w:rPr>
      </w:pPr>
      <w:r w:rsidRPr="00193219">
        <w:rPr>
          <w:rFonts w:eastAsia="Times New Roman" w:cs="Arial"/>
        </w:rPr>
        <w:t xml:space="preserve">Often determined as a fixed percentage increase tied to performance evaluations. </w:t>
      </w:r>
    </w:p>
    <w:p w14:paraId="1DBE5A79" w14:textId="77777777" w:rsidR="00193219" w:rsidRDefault="00193219" w:rsidP="00193219">
      <w:pPr>
        <w:rPr>
          <w:rFonts w:cs="Arial"/>
          <w:b/>
          <w:bCs/>
        </w:rPr>
      </w:pPr>
    </w:p>
    <w:p w14:paraId="7D96E5C6" w14:textId="4B15C89F" w:rsidR="00193219" w:rsidRPr="00193219" w:rsidRDefault="00193219" w:rsidP="00193219">
      <w:pPr>
        <w:rPr>
          <w:rFonts w:cs="Arial"/>
          <w:b/>
          <w:bCs/>
          <w:color w:val="1D2C4C"/>
        </w:rPr>
      </w:pPr>
      <w:r w:rsidRPr="00193219">
        <w:rPr>
          <w:rFonts w:cs="Arial"/>
          <w:b/>
          <w:bCs/>
          <w:color w:val="1D2C4C"/>
        </w:rPr>
        <w:t>Pay-for-Performance</w:t>
      </w:r>
    </w:p>
    <w:p w14:paraId="20F9D1BF" w14:textId="77777777" w:rsidR="00193219" w:rsidRPr="00193219" w:rsidRDefault="00193219" w:rsidP="00030B99">
      <w:pPr>
        <w:numPr>
          <w:ilvl w:val="0"/>
          <w:numId w:val="8"/>
        </w:numPr>
        <w:spacing w:after="60"/>
        <w:ind w:left="360"/>
        <w:rPr>
          <w:rFonts w:eastAsia="Times New Roman" w:cs="Arial"/>
        </w:rPr>
      </w:pPr>
      <w:r w:rsidRPr="00193219">
        <w:rPr>
          <w:rFonts w:eastAsia="Times New Roman" w:cs="Arial"/>
        </w:rPr>
        <w:t>Encompasses a broader compensation model that ties pay to performance at individual, team or organizational levels.</w:t>
      </w:r>
    </w:p>
    <w:p w14:paraId="2AF046C2" w14:textId="77777777" w:rsidR="00193219" w:rsidRPr="00193219" w:rsidRDefault="00193219" w:rsidP="00030B99">
      <w:pPr>
        <w:numPr>
          <w:ilvl w:val="0"/>
          <w:numId w:val="8"/>
        </w:numPr>
        <w:spacing w:after="60"/>
        <w:ind w:left="360"/>
        <w:rPr>
          <w:rFonts w:eastAsia="Times New Roman" w:cs="Arial"/>
        </w:rPr>
      </w:pPr>
      <w:r w:rsidRPr="00193219">
        <w:rPr>
          <w:rFonts w:eastAsia="Times New Roman" w:cs="Arial"/>
        </w:rPr>
        <w:t xml:space="preserve">May include merit increases, bonuses, commissions, or profit-sharing tied to goals. </w:t>
      </w:r>
    </w:p>
    <w:p w14:paraId="5ED7470F" w14:textId="77777777" w:rsidR="00193219" w:rsidRPr="00193219" w:rsidRDefault="00193219" w:rsidP="00030B99">
      <w:pPr>
        <w:numPr>
          <w:ilvl w:val="0"/>
          <w:numId w:val="8"/>
        </w:numPr>
        <w:spacing w:after="60"/>
        <w:ind w:left="360"/>
        <w:rPr>
          <w:rFonts w:eastAsia="Times New Roman" w:cs="Arial"/>
        </w:rPr>
      </w:pPr>
      <w:r w:rsidRPr="00193219">
        <w:rPr>
          <w:rFonts w:eastAsia="Times New Roman" w:cs="Arial"/>
        </w:rPr>
        <w:t>Offers flexibility in timing (monthly, quarterly, or goal-specific rewards) and amounts based on measurable outcomes.</w:t>
      </w:r>
    </w:p>
    <w:p w14:paraId="153F57AF" w14:textId="77777777" w:rsidR="00193219" w:rsidRDefault="00193219" w:rsidP="00193219">
      <w:pPr>
        <w:rPr>
          <w:rFonts w:cs="Arial"/>
          <w:b/>
          <w:bCs/>
          <w:sz w:val="36"/>
          <w:szCs w:val="36"/>
        </w:rPr>
      </w:pPr>
    </w:p>
    <w:p w14:paraId="03CDE857" w14:textId="2AA19E36" w:rsidR="00193219" w:rsidRPr="00193219" w:rsidRDefault="00193219" w:rsidP="00193219">
      <w:pPr>
        <w:spacing w:line="240" w:lineRule="auto"/>
        <w:rPr>
          <w:rFonts w:cs="Arial"/>
          <w:b/>
          <w:bCs/>
          <w:color w:val="1D2C49"/>
          <w:sz w:val="36"/>
          <w:szCs w:val="36"/>
        </w:rPr>
      </w:pPr>
      <w:r w:rsidRPr="00193219">
        <w:rPr>
          <w:rFonts w:cs="Arial"/>
          <w:b/>
          <w:bCs/>
          <w:color w:val="1D2C49"/>
          <w:sz w:val="36"/>
          <w:szCs w:val="36"/>
        </w:rPr>
        <w:t>Building an Impactful Pay-for-Performance Program</w:t>
      </w:r>
    </w:p>
    <w:p w14:paraId="5DA878B5" w14:textId="77777777" w:rsidR="00030B99" w:rsidRDefault="00030B99" w:rsidP="00193219">
      <w:pPr>
        <w:rPr>
          <w:rFonts w:cs="Arial"/>
          <w:b/>
          <w:bCs/>
          <w:color w:val="1D2C4C"/>
        </w:rPr>
      </w:pPr>
    </w:p>
    <w:p w14:paraId="0D56F593" w14:textId="59103405" w:rsidR="00193219" w:rsidRPr="00193219" w:rsidRDefault="00193219" w:rsidP="00193219">
      <w:pPr>
        <w:rPr>
          <w:rFonts w:cs="Arial"/>
          <w:b/>
          <w:bCs/>
          <w:color w:val="1D2C4C"/>
        </w:rPr>
      </w:pPr>
      <w:r w:rsidRPr="00193219">
        <w:rPr>
          <w:rFonts w:cs="Arial"/>
          <w:b/>
          <w:bCs/>
          <w:color w:val="1D2C4C"/>
        </w:rPr>
        <w:t>Define Performance Metrics</w:t>
      </w:r>
    </w:p>
    <w:p w14:paraId="5C17C312" w14:textId="77777777" w:rsidR="00193219" w:rsidRPr="00193219" w:rsidRDefault="00193219" w:rsidP="00030B99">
      <w:pPr>
        <w:numPr>
          <w:ilvl w:val="0"/>
          <w:numId w:val="8"/>
        </w:numPr>
        <w:spacing w:after="60"/>
        <w:ind w:left="360"/>
        <w:rPr>
          <w:rFonts w:eastAsia="Times New Roman" w:cs="Arial"/>
        </w:rPr>
      </w:pPr>
      <w:r w:rsidRPr="00193219">
        <w:rPr>
          <w:rFonts w:eastAsia="Times New Roman" w:cs="Arial"/>
        </w:rPr>
        <w:t xml:space="preserve">Identify Key Performance Indicators (KPIs) – Clearly define performance expectations for each role.  </w:t>
      </w:r>
    </w:p>
    <w:p w14:paraId="16A36BFF" w14:textId="77777777" w:rsidR="00193219" w:rsidRPr="00193219" w:rsidRDefault="00193219" w:rsidP="00030B99">
      <w:pPr>
        <w:numPr>
          <w:ilvl w:val="0"/>
          <w:numId w:val="8"/>
        </w:numPr>
        <w:spacing w:after="60"/>
        <w:ind w:left="360"/>
        <w:rPr>
          <w:rFonts w:eastAsia="Times New Roman" w:cs="Arial"/>
        </w:rPr>
      </w:pPr>
      <w:r w:rsidRPr="00193219">
        <w:rPr>
          <w:rFonts w:eastAsia="Times New Roman" w:cs="Arial"/>
        </w:rPr>
        <w:t xml:space="preserve">Establish Objective Metrics – Use quantifiable criteria assess performance accurately. </w:t>
      </w:r>
    </w:p>
    <w:p w14:paraId="1672E30A" w14:textId="77777777" w:rsidR="00193219" w:rsidRPr="00193219" w:rsidRDefault="00193219" w:rsidP="00030B99">
      <w:pPr>
        <w:numPr>
          <w:ilvl w:val="0"/>
          <w:numId w:val="8"/>
        </w:numPr>
        <w:spacing w:after="60"/>
        <w:ind w:left="360"/>
        <w:rPr>
          <w:rFonts w:eastAsia="Times New Roman" w:cs="Arial"/>
        </w:rPr>
      </w:pPr>
      <w:r w:rsidRPr="00193219">
        <w:rPr>
          <w:rFonts w:eastAsia="Times New Roman" w:cs="Arial"/>
        </w:rPr>
        <w:t>Incorporate Individual and Team Metrics – Incorporate both individual and team performance metrics to encourage collaboration.</w:t>
      </w:r>
    </w:p>
    <w:p w14:paraId="507CC276" w14:textId="3A1394CA" w:rsidR="00193219" w:rsidRPr="00193219" w:rsidRDefault="00193219" w:rsidP="00193219">
      <w:pPr>
        <w:rPr>
          <w:rFonts w:cs="Arial"/>
          <w:b/>
          <w:bCs/>
          <w:color w:val="1D2C4C"/>
        </w:rPr>
      </w:pPr>
      <w:r w:rsidRPr="00193219">
        <w:rPr>
          <w:rFonts w:cs="Arial"/>
          <w:b/>
          <w:bCs/>
          <w:color w:val="1D2C4C"/>
        </w:rPr>
        <w:lastRenderedPageBreak/>
        <w:t>Set Attainable Goals</w:t>
      </w:r>
    </w:p>
    <w:p w14:paraId="5D3CFBD0" w14:textId="77777777" w:rsidR="00193219" w:rsidRPr="00193219" w:rsidRDefault="00193219" w:rsidP="00030B99">
      <w:pPr>
        <w:numPr>
          <w:ilvl w:val="0"/>
          <w:numId w:val="8"/>
        </w:numPr>
        <w:spacing w:after="60"/>
        <w:ind w:left="360"/>
        <w:rPr>
          <w:rFonts w:eastAsia="Times New Roman" w:cs="Arial"/>
        </w:rPr>
      </w:pPr>
      <w:r w:rsidRPr="00193219">
        <w:rPr>
          <w:rFonts w:eastAsia="Times New Roman" w:cs="Arial"/>
        </w:rPr>
        <w:t>Define Targets – Create goals that are ambitious yet attainable to inspire high performance.</w:t>
      </w:r>
    </w:p>
    <w:p w14:paraId="07953754" w14:textId="45398D1A" w:rsidR="00193219" w:rsidRPr="00193219" w:rsidRDefault="00193219" w:rsidP="00030B99">
      <w:pPr>
        <w:numPr>
          <w:ilvl w:val="0"/>
          <w:numId w:val="8"/>
        </w:numPr>
        <w:spacing w:after="60"/>
        <w:ind w:left="360"/>
        <w:rPr>
          <w:rFonts w:eastAsia="Times New Roman" w:cs="Arial"/>
        </w:rPr>
      </w:pPr>
      <w:r w:rsidRPr="00193219">
        <w:rPr>
          <w:rFonts w:eastAsia="Times New Roman" w:cs="Arial"/>
        </w:rPr>
        <w:t xml:space="preserve">Align Goals with Organizational Objectives – Ensure individual goals are consistent with broader </w:t>
      </w:r>
      <w:r w:rsidR="00614E9D">
        <w:rPr>
          <w:rFonts w:eastAsia="Times New Roman" w:cs="Arial"/>
        </w:rPr>
        <w:t xml:space="preserve">organization </w:t>
      </w:r>
      <w:r w:rsidRPr="00193219">
        <w:rPr>
          <w:rFonts w:eastAsia="Times New Roman" w:cs="Arial"/>
        </w:rPr>
        <w:t>objectives.</w:t>
      </w:r>
    </w:p>
    <w:p w14:paraId="0278400D" w14:textId="77777777" w:rsidR="00193219" w:rsidRPr="00193219" w:rsidRDefault="00193219" w:rsidP="00030B99">
      <w:pPr>
        <w:numPr>
          <w:ilvl w:val="0"/>
          <w:numId w:val="8"/>
        </w:numPr>
        <w:spacing w:after="60"/>
        <w:ind w:left="360"/>
        <w:rPr>
          <w:rFonts w:eastAsia="Times New Roman" w:cs="Arial"/>
        </w:rPr>
      </w:pPr>
      <w:r w:rsidRPr="00193219">
        <w:rPr>
          <w:rFonts w:eastAsia="Times New Roman" w:cs="Arial"/>
        </w:rPr>
        <w:t xml:space="preserve">Apply the SMART Framework – Goals should be Specific, Measurable, Achievable, Relevant, and Time-bound. </w:t>
      </w:r>
    </w:p>
    <w:p w14:paraId="128CF186" w14:textId="77777777" w:rsidR="00193219" w:rsidRPr="00193219" w:rsidRDefault="00193219" w:rsidP="00193219">
      <w:pPr>
        <w:rPr>
          <w:rFonts w:cs="Arial"/>
        </w:rPr>
      </w:pPr>
    </w:p>
    <w:p w14:paraId="441A6E2E" w14:textId="77777777" w:rsidR="00193219" w:rsidRPr="00193219" w:rsidRDefault="00193219" w:rsidP="00193219">
      <w:pPr>
        <w:rPr>
          <w:rFonts w:cs="Arial"/>
          <w:b/>
          <w:bCs/>
          <w:color w:val="1D2C4C"/>
        </w:rPr>
      </w:pPr>
      <w:r w:rsidRPr="00193219">
        <w:rPr>
          <w:rFonts w:cs="Arial"/>
          <w:b/>
          <w:bCs/>
          <w:color w:val="1D2C4C"/>
        </w:rPr>
        <w:t>Communicate Transparently</w:t>
      </w:r>
    </w:p>
    <w:p w14:paraId="4501C602" w14:textId="77777777" w:rsidR="00193219" w:rsidRPr="00193219" w:rsidRDefault="00193219" w:rsidP="00030B99">
      <w:pPr>
        <w:numPr>
          <w:ilvl w:val="0"/>
          <w:numId w:val="8"/>
        </w:numPr>
        <w:spacing w:after="60"/>
        <w:ind w:left="360"/>
        <w:rPr>
          <w:rFonts w:eastAsia="Times New Roman" w:cs="Arial"/>
        </w:rPr>
      </w:pPr>
      <w:r w:rsidRPr="00193219">
        <w:rPr>
          <w:rFonts w:eastAsia="Times New Roman" w:cs="Arial"/>
        </w:rPr>
        <w:t xml:space="preserve">Clearly Outline the System – Provide employees with a thorough understanding of the program, including evaluation criteria and reward mechanisms. </w:t>
      </w:r>
    </w:p>
    <w:p w14:paraId="701618C2" w14:textId="77777777" w:rsidR="00193219" w:rsidRPr="00193219" w:rsidRDefault="00193219" w:rsidP="00030B99">
      <w:pPr>
        <w:numPr>
          <w:ilvl w:val="0"/>
          <w:numId w:val="8"/>
        </w:numPr>
        <w:spacing w:after="60"/>
        <w:ind w:left="360"/>
        <w:rPr>
          <w:rFonts w:eastAsia="Times New Roman" w:cs="Arial"/>
        </w:rPr>
      </w:pPr>
      <w:r w:rsidRPr="00193219">
        <w:rPr>
          <w:rFonts w:eastAsia="Times New Roman" w:cs="Arial"/>
        </w:rPr>
        <w:t>Offer Regular Feedback – Update employees on their progress and highlight alignment with team objectives.</w:t>
      </w:r>
    </w:p>
    <w:p w14:paraId="1AC0C91C" w14:textId="77777777" w:rsidR="00193219" w:rsidRPr="00193219" w:rsidRDefault="00193219" w:rsidP="00030B99">
      <w:pPr>
        <w:numPr>
          <w:ilvl w:val="0"/>
          <w:numId w:val="8"/>
        </w:numPr>
        <w:spacing w:after="60"/>
        <w:ind w:left="360"/>
        <w:rPr>
          <w:rFonts w:eastAsia="Times New Roman" w:cs="Arial"/>
        </w:rPr>
      </w:pPr>
      <w:r w:rsidRPr="00193219">
        <w:rPr>
          <w:rFonts w:eastAsia="Times New Roman" w:cs="Arial"/>
        </w:rPr>
        <w:t xml:space="preserve">Clarify Expectations – Ensure both employees and leaders understand their roles to promote fairness and accountability. </w:t>
      </w:r>
    </w:p>
    <w:p w14:paraId="2A3D4E53" w14:textId="77777777" w:rsidR="00193219" w:rsidRDefault="00193219" w:rsidP="00193219">
      <w:pPr>
        <w:rPr>
          <w:rFonts w:cs="Arial"/>
          <w:b/>
          <w:bCs/>
        </w:rPr>
      </w:pPr>
    </w:p>
    <w:p w14:paraId="70EFE9BF" w14:textId="5811497E" w:rsidR="00193219" w:rsidRPr="00614E9D" w:rsidRDefault="00193219" w:rsidP="00193219">
      <w:pPr>
        <w:rPr>
          <w:rFonts w:cs="Arial"/>
          <w:b/>
          <w:bCs/>
          <w:color w:val="1D2C4C"/>
        </w:rPr>
      </w:pPr>
      <w:r w:rsidRPr="00614E9D">
        <w:rPr>
          <w:rFonts w:cs="Arial"/>
          <w:b/>
          <w:bCs/>
          <w:color w:val="1D2C4C"/>
        </w:rPr>
        <w:t>Consistent Leadership Practices</w:t>
      </w:r>
    </w:p>
    <w:p w14:paraId="3EE73587" w14:textId="77777777" w:rsidR="00193219" w:rsidRPr="00193219" w:rsidRDefault="00193219" w:rsidP="00030B99">
      <w:pPr>
        <w:numPr>
          <w:ilvl w:val="0"/>
          <w:numId w:val="8"/>
        </w:numPr>
        <w:spacing w:after="60"/>
        <w:ind w:left="360"/>
        <w:rPr>
          <w:rFonts w:eastAsia="Times New Roman" w:cs="Arial"/>
        </w:rPr>
      </w:pPr>
      <w:r w:rsidRPr="00193219">
        <w:rPr>
          <w:rFonts w:eastAsia="Times New Roman" w:cs="Arial"/>
        </w:rPr>
        <w:t>Standardize Evaluations and Training – Ensure all leaders use uniform criteria for performance evaluations and provide training focused on objective assessments to minimize bias and maintain fairness.</w:t>
      </w:r>
    </w:p>
    <w:p w14:paraId="46FD60AC" w14:textId="77777777" w:rsidR="00193219" w:rsidRPr="00193219" w:rsidRDefault="00193219" w:rsidP="00030B99">
      <w:pPr>
        <w:numPr>
          <w:ilvl w:val="0"/>
          <w:numId w:val="8"/>
        </w:numPr>
        <w:spacing w:after="60"/>
        <w:ind w:left="360"/>
        <w:rPr>
          <w:rFonts w:eastAsia="Times New Roman" w:cs="Arial"/>
        </w:rPr>
      </w:pPr>
      <w:r w:rsidRPr="00193219">
        <w:rPr>
          <w:rFonts w:eastAsia="Times New Roman" w:cs="Arial"/>
        </w:rPr>
        <w:t xml:space="preserve">Clear and Consistent Review Protocol – Develop a structured review process that all leaders follow, ensuring consistent feedback delivery and alignment with guidelines and timeliness. </w:t>
      </w:r>
    </w:p>
    <w:p w14:paraId="5318E322" w14:textId="77777777" w:rsidR="00193219" w:rsidRDefault="00193219" w:rsidP="00193219">
      <w:pPr>
        <w:rPr>
          <w:rFonts w:cs="Arial"/>
          <w:b/>
          <w:bCs/>
        </w:rPr>
      </w:pPr>
    </w:p>
    <w:p w14:paraId="01727E28" w14:textId="0CF2A10B" w:rsidR="00193219" w:rsidRPr="00614E9D" w:rsidRDefault="00193219" w:rsidP="00193219">
      <w:pPr>
        <w:rPr>
          <w:rFonts w:cs="Arial"/>
          <w:b/>
          <w:bCs/>
          <w:color w:val="1D2C4C"/>
        </w:rPr>
      </w:pPr>
      <w:r w:rsidRPr="00614E9D">
        <w:rPr>
          <w:rFonts w:cs="Arial"/>
          <w:b/>
          <w:bCs/>
          <w:color w:val="1D2C4C"/>
        </w:rPr>
        <w:t>Conduct Regular Performance Evaluations</w:t>
      </w:r>
    </w:p>
    <w:p w14:paraId="205E6594" w14:textId="77777777" w:rsidR="00193219" w:rsidRPr="00193219" w:rsidRDefault="00193219" w:rsidP="00030B99">
      <w:pPr>
        <w:numPr>
          <w:ilvl w:val="0"/>
          <w:numId w:val="8"/>
        </w:numPr>
        <w:spacing w:after="60"/>
        <w:ind w:left="360"/>
        <w:rPr>
          <w:rFonts w:eastAsia="Times New Roman" w:cs="Arial"/>
        </w:rPr>
      </w:pPr>
      <w:r w:rsidRPr="00193219">
        <w:rPr>
          <w:rFonts w:eastAsia="Times New Roman" w:cs="Arial"/>
        </w:rPr>
        <w:t>Increase Review Frequency – Replace annual evaluation with quarterly or biannual reviews for timely and actionable feedback.</w:t>
      </w:r>
    </w:p>
    <w:p w14:paraId="606B9636" w14:textId="77777777" w:rsidR="00193219" w:rsidRPr="00193219" w:rsidRDefault="00193219" w:rsidP="00030B99">
      <w:pPr>
        <w:numPr>
          <w:ilvl w:val="0"/>
          <w:numId w:val="8"/>
        </w:numPr>
        <w:spacing w:after="60"/>
        <w:ind w:left="360"/>
        <w:rPr>
          <w:rFonts w:eastAsia="Times New Roman" w:cs="Arial"/>
        </w:rPr>
      </w:pPr>
      <w:r w:rsidRPr="00193219">
        <w:rPr>
          <w:rFonts w:eastAsia="Times New Roman" w:cs="Arial"/>
        </w:rPr>
        <w:t xml:space="preserve">Consider Multiple Evaluation Methods – Combine manager assessments, 360 reviews, and self-assessments for a comprehensive perspective. </w:t>
      </w:r>
    </w:p>
    <w:p w14:paraId="1A6E8AD8" w14:textId="77777777" w:rsidR="00193219" w:rsidRPr="00193219" w:rsidRDefault="00193219" w:rsidP="00030B99">
      <w:pPr>
        <w:numPr>
          <w:ilvl w:val="0"/>
          <w:numId w:val="8"/>
        </w:numPr>
        <w:spacing w:after="60"/>
        <w:ind w:left="360"/>
        <w:rPr>
          <w:rFonts w:eastAsia="Times New Roman" w:cs="Arial"/>
        </w:rPr>
      </w:pPr>
      <w:r w:rsidRPr="00193219">
        <w:rPr>
          <w:rFonts w:eastAsia="Times New Roman" w:cs="Arial"/>
        </w:rPr>
        <w:t xml:space="preserve">Offer Constructive Feedback – Provide specific, actionable recommendations for improvement and growth. </w:t>
      </w:r>
    </w:p>
    <w:p w14:paraId="186F2E67" w14:textId="77777777" w:rsidR="00193219" w:rsidRDefault="00193219" w:rsidP="00193219">
      <w:pPr>
        <w:rPr>
          <w:rFonts w:cs="Arial"/>
          <w:b/>
          <w:bCs/>
        </w:rPr>
      </w:pPr>
    </w:p>
    <w:p w14:paraId="1DD14DF2" w14:textId="7CCE7BC5" w:rsidR="00193219" w:rsidRPr="00614E9D" w:rsidRDefault="00193219" w:rsidP="00193219">
      <w:pPr>
        <w:rPr>
          <w:rFonts w:cs="Arial"/>
          <w:b/>
          <w:bCs/>
          <w:color w:val="1D2C4C"/>
        </w:rPr>
      </w:pPr>
      <w:r w:rsidRPr="00614E9D">
        <w:rPr>
          <w:rFonts w:cs="Arial"/>
          <w:b/>
          <w:bCs/>
          <w:color w:val="1D2C4C"/>
        </w:rPr>
        <w:t>Align Incentives with Objectives</w:t>
      </w:r>
    </w:p>
    <w:p w14:paraId="01A80FB7" w14:textId="77777777" w:rsidR="00193219" w:rsidRPr="00193219" w:rsidRDefault="00193219" w:rsidP="00030B99">
      <w:pPr>
        <w:numPr>
          <w:ilvl w:val="0"/>
          <w:numId w:val="8"/>
        </w:numPr>
        <w:spacing w:after="60"/>
        <w:ind w:left="360"/>
        <w:rPr>
          <w:rFonts w:eastAsia="Times New Roman" w:cs="Arial"/>
        </w:rPr>
      </w:pPr>
      <w:r w:rsidRPr="00193219">
        <w:rPr>
          <w:rFonts w:eastAsia="Times New Roman" w:cs="Arial"/>
        </w:rPr>
        <w:t xml:space="preserve">Tie Rewards to Achievements – Link pay increase, bonuses, and promotions directly to performance outcomes. </w:t>
      </w:r>
    </w:p>
    <w:p w14:paraId="276F87F2" w14:textId="77777777" w:rsidR="00193219" w:rsidRPr="00193219" w:rsidRDefault="00193219" w:rsidP="00030B99">
      <w:pPr>
        <w:numPr>
          <w:ilvl w:val="0"/>
          <w:numId w:val="8"/>
        </w:numPr>
        <w:spacing w:after="60"/>
        <w:ind w:left="360"/>
        <w:rPr>
          <w:rFonts w:eastAsia="Times New Roman" w:cs="Arial"/>
        </w:rPr>
      </w:pPr>
      <w:r w:rsidRPr="00193219">
        <w:rPr>
          <w:rFonts w:eastAsia="Times New Roman" w:cs="Arial"/>
        </w:rPr>
        <w:t xml:space="preserve">Consider Non-Monetary Incentives – Recognize employee achievements through acknowledgement programs or career advancement opportunities. </w:t>
      </w:r>
    </w:p>
    <w:p w14:paraId="7CBF05AF" w14:textId="77777777" w:rsidR="00193219" w:rsidRPr="00193219" w:rsidRDefault="00193219" w:rsidP="00030B99">
      <w:pPr>
        <w:numPr>
          <w:ilvl w:val="0"/>
          <w:numId w:val="8"/>
        </w:numPr>
        <w:spacing w:after="60"/>
        <w:ind w:left="360"/>
        <w:rPr>
          <w:rFonts w:eastAsia="Times New Roman" w:cs="Arial"/>
        </w:rPr>
      </w:pPr>
      <w:r w:rsidRPr="00193219">
        <w:rPr>
          <w:rFonts w:eastAsia="Times New Roman" w:cs="Arial"/>
        </w:rPr>
        <w:t xml:space="preserve">Balance Incentive Types – Utilize both short-term (bi-annual bonuses) and long-term incentives (retirement contributions) to motivate and reward. </w:t>
      </w:r>
    </w:p>
    <w:p w14:paraId="39BA0396" w14:textId="77777777" w:rsidR="00193219" w:rsidRDefault="00193219" w:rsidP="00193219">
      <w:pPr>
        <w:rPr>
          <w:rFonts w:cs="Arial"/>
          <w:b/>
          <w:bCs/>
        </w:rPr>
      </w:pPr>
    </w:p>
    <w:p w14:paraId="474A0DD0" w14:textId="7C53E661" w:rsidR="00193219" w:rsidRPr="00614E9D" w:rsidRDefault="00193219" w:rsidP="00193219">
      <w:pPr>
        <w:rPr>
          <w:rFonts w:cs="Arial"/>
          <w:b/>
          <w:bCs/>
          <w:color w:val="1D2C4C"/>
        </w:rPr>
      </w:pPr>
      <w:r w:rsidRPr="00614E9D">
        <w:rPr>
          <w:rFonts w:cs="Arial"/>
          <w:b/>
          <w:bCs/>
          <w:color w:val="1D2C4C"/>
        </w:rPr>
        <w:t>Benchmark and Monitor the Market</w:t>
      </w:r>
    </w:p>
    <w:p w14:paraId="7F00B0C3" w14:textId="77777777" w:rsidR="00193219" w:rsidRPr="00193219" w:rsidRDefault="00193219" w:rsidP="00030B99">
      <w:pPr>
        <w:numPr>
          <w:ilvl w:val="0"/>
          <w:numId w:val="8"/>
        </w:numPr>
        <w:spacing w:after="60"/>
        <w:ind w:left="360"/>
        <w:rPr>
          <w:rFonts w:eastAsia="Times New Roman" w:cs="Arial"/>
        </w:rPr>
      </w:pPr>
      <w:r w:rsidRPr="00193219">
        <w:rPr>
          <w:rFonts w:eastAsia="Times New Roman" w:cs="Arial"/>
        </w:rPr>
        <w:t>Review Compensation Against Market Standards – Ensure pay-for-performance programs remain attractive and competitive.</w:t>
      </w:r>
    </w:p>
    <w:p w14:paraId="588A1EA0" w14:textId="77777777" w:rsidR="00193219" w:rsidRPr="00193219" w:rsidRDefault="00193219" w:rsidP="00030B99">
      <w:pPr>
        <w:numPr>
          <w:ilvl w:val="0"/>
          <w:numId w:val="8"/>
        </w:numPr>
        <w:spacing w:after="60"/>
        <w:ind w:left="360"/>
        <w:rPr>
          <w:rFonts w:eastAsia="Times New Roman" w:cs="Arial"/>
        </w:rPr>
      </w:pPr>
      <w:r w:rsidRPr="00193219">
        <w:rPr>
          <w:rFonts w:eastAsia="Times New Roman" w:cs="Arial"/>
        </w:rPr>
        <w:t>Adjust for Economic Trends – Update compensation structures annually to reflect inflation, cost of living, and market shifts.</w:t>
      </w:r>
    </w:p>
    <w:p w14:paraId="45C5CEA5" w14:textId="30285E25" w:rsidR="00193219" w:rsidRPr="00030B99" w:rsidRDefault="00193219" w:rsidP="00193219">
      <w:pPr>
        <w:rPr>
          <w:rFonts w:cs="Arial"/>
          <w:b/>
          <w:bCs/>
          <w:color w:val="1D2C4C"/>
        </w:rPr>
      </w:pPr>
      <w:r w:rsidRPr="00030B99">
        <w:rPr>
          <w:rFonts w:cs="Arial"/>
          <w:b/>
          <w:bCs/>
          <w:color w:val="1D2C4C"/>
        </w:rPr>
        <w:lastRenderedPageBreak/>
        <w:t>Ensure Compliance</w:t>
      </w:r>
    </w:p>
    <w:p w14:paraId="509566B5" w14:textId="77777777" w:rsidR="00193219" w:rsidRPr="00193219" w:rsidRDefault="00193219" w:rsidP="00030B99">
      <w:pPr>
        <w:numPr>
          <w:ilvl w:val="0"/>
          <w:numId w:val="8"/>
        </w:numPr>
        <w:spacing w:after="60"/>
        <w:ind w:left="360"/>
        <w:rPr>
          <w:rFonts w:eastAsia="Times New Roman" w:cs="Arial"/>
        </w:rPr>
      </w:pPr>
      <w:r w:rsidRPr="00193219">
        <w:rPr>
          <w:rFonts w:eastAsia="Times New Roman" w:cs="Arial"/>
        </w:rPr>
        <w:t xml:space="preserve">Comply with Equal Pay Legislation – Align programs with state and federal laws to avoid discriminatory practices. </w:t>
      </w:r>
    </w:p>
    <w:p w14:paraId="0E9214A2" w14:textId="77777777" w:rsidR="00193219" w:rsidRPr="00193219" w:rsidRDefault="00193219" w:rsidP="00030B99">
      <w:pPr>
        <w:numPr>
          <w:ilvl w:val="0"/>
          <w:numId w:val="8"/>
        </w:numPr>
        <w:spacing w:after="60"/>
        <w:ind w:left="360"/>
        <w:rPr>
          <w:rFonts w:eastAsia="Times New Roman" w:cs="Arial"/>
        </w:rPr>
      </w:pPr>
      <w:r w:rsidRPr="00193219">
        <w:rPr>
          <w:rFonts w:eastAsia="Times New Roman" w:cs="Arial"/>
        </w:rPr>
        <w:t>Document and Review Policies Regularly – Update the program to reflect changes in employment laws and best practices.</w:t>
      </w:r>
    </w:p>
    <w:p w14:paraId="02710D1F" w14:textId="77777777" w:rsidR="00193219" w:rsidRDefault="00193219" w:rsidP="00193219">
      <w:pPr>
        <w:rPr>
          <w:rFonts w:cs="Arial"/>
          <w:b/>
          <w:bCs/>
        </w:rPr>
      </w:pPr>
    </w:p>
    <w:p w14:paraId="152E4D64" w14:textId="4A498B47" w:rsidR="00193219" w:rsidRPr="00030B99" w:rsidRDefault="00193219" w:rsidP="00193219">
      <w:pPr>
        <w:rPr>
          <w:rFonts w:cs="Arial"/>
          <w:b/>
          <w:bCs/>
          <w:color w:val="1D2C4C"/>
        </w:rPr>
      </w:pPr>
      <w:r w:rsidRPr="00030B99">
        <w:rPr>
          <w:rFonts w:cs="Arial"/>
          <w:b/>
          <w:bCs/>
          <w:color w:val="1D2C4C"/>
        </w:rPr>
        <w:t>Seek and Act on Feedback</w:t>
      </w:r>
    </w:p>
    <w:p w14:paraId="2C5BB432" w14:textId="77777777" w:rsidR="00193219" w:rsidRPr="00193219" w:rsidRDefault="00193219" w:rsidP="00030B99">
      <w:pPr>
        <w:numPr>
          <w:ilvl w:val="0"/>
          <w:numId w:val="8"/>
        </w:numPr>
        <w:spacing w:after="60"/>
        <w:ind w:left="360"/>
        <w:rPr>
          <w:rFonts w:eastAsia="Times New Roman" w:cs="Arial"/>
        </w:rPr>
      </w:pPr>
      <w:r w:rsidRPr="00193219">
        <w:rPr>
          <w:rFonts w:eastAsia="Times New Roman" w:cs="Arial"/>
        </w:rPr>
        <w:t xml:space="preserve">Survey employees – Regularly collect employee feedback to evaluate the program’s effectiveness and identify opportunities for improvement. </w:t>
      </w:r>
    </w:p>
    <w:p w14:paraId="551CA4D9" w14:textId="77777777" w:rsidR="00193219" w:rsidRPr="00193219" w:rsidRDefault="00193219" w:rsidP="00030B99">
      <w:pPr>
        <w:numPr>
          <w:ilvl w:val="0"/>
          <w:numId w:val="8"/>
        </w:numPr>
        <w:spacing w:after="60"/>
        <w:ind w:left="360"/>
        <w:rPr>
          <w:rFonts w:eastAsia="Times New Roman" w:cs="Arial"/>
        </w:rPr>
      </w:pPr>
      <w:r w:rsidRPr="00193219">
        <w:rPr>
          <w:rFonts w:eastAsia="Times New Roman" w:cs="Arial"/>
        </w:rPr>
        <w:t>Refine Goals and Metrics – Leverage feedback to adjust performance metrics, enhance goal-setting processes, and improve program communication.</w:t>
      </w:r>
    </w:p>
    <w:p w14:paraId="46ED0BFF" w14:textId="77777777" w:rsidR="00193219" w:rsidRPr="00193219" w:rsidRDefault="00193219" w:rsidP="00030B99">
      <w:pPr>
        <w:numPr>
          <w:ilvl w:val="0"/>
          <w:numId w:val="8"/>
        </w:numPr>
        <w:spacing w:after="60"/>
        <w:ind w:left="360"/>
        <w:rPr>
          <w:rFonts w:eastAsia="Times New Roman" w:cs="Arial"/>
        </w:rPr>
      </w:pPr>
      <w:r w:rsidRPr="00193219">
        <w:rPr>
          <w:rFonts w:eastAsia="Times New Roman" w:cs="Arial"/>
        </w:rPr>
        <w:t xml:space="preserve">Optimize Program Outcomes – Monitor engagement, retention and performance, applying data-driven adjustments to ensure continuous improvement. </w:t>
      </w:r>
    </w:p>
    <w:p w14:paraId="09699894" w14:textId="77777777" w:rsidR="00193219" w:rsidRDefault="00193219" w:rsidP="00193219">
      <w:pPr>
        <w:rPr>
          <w:rFonts w:cs="Arial"/>
          <w:b/>
          <w:bCs/>
          <w:sz w:val="36"/>
          <w:szCs w:val="36"/>
        </w:rPr>
      </w:pPr>
    </w:p>
    <w:p w14:paraId="0EF21673" w14:textId="69D0C6DA" w:rsidR="00193219" w:rsidRPr="00193219" w:rsidRDefault="00193219" w:rsidP="00193219">
      <w:pPr>
        <w:spacing w:line="240" w:lineRule="auto"/>
        <w:rPr>
          <w:rFonts w:cs="Arial"/>
          <w:b/>
          <w:bCs/>
          <w:color w:val="1D2C49"/>
          <w:sz w:val="36"/>
          <w:szCs w:val="36"/>
        </w:rPr>
      </w:pPr>
      <w:r w:rsidRPr="00193219">
        <w:rPr>
          <w:rFonts w:cs="Arial"/>
          <w:b/>
          <w:bCs/>
          <w:color w:val="1D2C49"/>
          <w:sz w:val="36"/>
          <w:szCs w:val="36"/>
        </w:rPr>
        <w:t>Conclusion</w:t>
      </w:r>
    </w:p>
    <w:p w14:paraId="77627398" w14:textId="77777777" w:rsidR="00614E9D" w:rsidRDefault="00614E9D" w:rsidP="00193219">
      <w:pPr>
        <w:rPr>
          <w:rFonts w:cs="Arial"/>
        </w:rPr>
      </w:pPr>
    </w:p>
    <w:p w14:paraId="7853E0F6" w14:textId="4BE6FC1B" w:rsidR="00193219" w:rsidRPr="00193219" w:rsidRDefault="00193219" w:rsidP="00193219">
      <w:pPr>
        <w:rPr>
          <w:rFonts w:cs="Arial"/>
        </w:rPr>
      </w:pPr>
      <w:r w:rsidRPr="00193219">
        <w:rPr>
          <w:rFonts w:cs="Arial"/>
        </w:rPr>
        <w:t xml:space="preserve">A well-executed Pay-for-Performance strategy aligns employee contributions with organizational goals while fostering motivation, engagement, and excellence. By emphasizing fairness, transparency, and strategic alignment, organizations can unlock significant value and achieve sustainable success. Reach out to our </w:t>
      </w:r>
      <w:hyperlink r:id="rId8" w:history="1">
        <w:r w:rsidRPr="00193219">
          <w:rPr>
            <w:rStyle w:val="Hyperlink"/>
            <w:rFonts w:cs="Arial"/>
          </w:rPr>
          <w:t>compensation team</w:t>
        </w:r>
      </w:hyperlink>
      <w:r w:rsidRPr="00193219">
        <w:rPr>
          <w:rFonts w:cs="Arial"/>
        </w:rPr>
        <w:t xml:space="preserve"> today for expert consulting support in developing or refining yours.</w:t>
      </w:r>
    </w:p>
    <w:p w14:paraId="65E16836" w14:textId="77777777" w:rsidR="00193219" w:rsidRDefault="00193219" w:rsidP="009D30CE">
      <w:pPr>
        <w:spacing w:line="240" w:lineRule="auto"/>
        <w:rPr>
          <w:rFonts w:cs="Arial"/>
          <w:b/>
          <w:bCs/>
          <w:color w:val="1D2C49"/>
          <w:sz w:val="36"/>
          <w:szCs w:val="36"/>
        </w:rPr>
      </w:pPr>
    </w:p>
    <w:p w14:paraId="10A987FE" w14:textId="77777777" w:rsidR="00193219" w:rsidRDefault="00193219" w:rsidP="009D30CE">
      <w:pPr>
        <w:spacing w:line="240" w:lineRule="auto"/>
        <w:rPr>
          <w:rFonts w:cs="Arial"/>
          <w:b/>
          <w:bCs/>
          <w:color w:val="1D2C49"/>
          <w:sz w:val="36"/>
          <w:szCs w:val="36"/>
        </w:rPr>
      </w:pPr>
    </w:p>
    <w:p w14:paraId="7ED93052" w14:textId="77777777" w:rsidR="00193219" w:rsidRDefault="00193219" w:rsidP="009D30CE">
      <w:pPr>
        <w:spacing w:line="240" w:lineRule="auto"/>
        <w:rPr>
          <w:rFonts w:cs="Arial"/>
          <w:b/>
          <w:bCs/>
          <w:color w:val="1D2C49"/>
          <w:sz w:val="36"/>
          <w:szCs w:val="36"/>
        </w:rPr>
      </w:pPr>
    </w:p>
    <w:p w14:paraId="7423C31F" w14:textId="77777777" w:rsidR="00193219" w:rsidRDefault="00193219" w:rsidP="009D30CE">
      <w:pPr>
        <w:spacing w:line="240" w:lineRule="auto"/>
        <w:rPr>
          <w:rFonts w:cs="Arial"/>
          <w:b/>
          <w:bCs/>
          <w:color w:val="1D2C49"/>
          <w:sz w:val="36"/>
          <w:szCs w:val="36"/>
        </w:rPr>
      </w:pPr>
    </w:p>
    <w:p w14:paraId="1F4ADE6F" w14:textId="77777777" w:rsidR="00193219" w:rsidRDefault="00193219" w:rsidP="009D30CE">
      <w:pPr>
        <w:spacing w:line="240" w:lineRule="auto"/>
        <w:rPr>
          <w:rFonts w:cs="Arial"/>
          <w:b/>
          <w:bCs/>
          <w:color w:val="1D2C49"/>
          <w:sz w:val="36"/>
          <w:szCs w:val="36"/>
        </w:rPr>
      </w:pPr>
    </w:p>
    <w:p w14:paraId="4AA3C7AF" w14:textId="77777777" w:rsidR="00193219" w:rsidRDefault="00193219" w:rsidP="009D30CE">
      <w:pPr>
        <w:spacing w:line="240" w:lineRule="auto"/>
        <w:rPr>
          <w:rFonts w:cs="Arial"/>
          <w:b/>
          <w:bCs/>
          <w:color w:val="1D2C49"/>
          <w:sz w:val="36"/>
          <w:szCs w:val="36"/>
        </w:rPr>
      </w:pPr>
    </w:p>
    <w:p w14:paraId="456E99FA" w14:textId="77777777" w:rsidR="00193219" w:rsidRDefault="00193219" w:rsidP="009D30CE">
      <w:pPr>
        <w:spacing w:line="240" w:lineRule="auto"/>
        <w:rPr>
          <w:rFonts w:cs="Arial"/>
          <w:b/>
          <w:bCs/>
          <w:color w:val="1D2C49"/>
          <w:sz w:val="36"/>
          <w:szCs w:val="36"/>
        </w:rPr>
      </w:pPr>
    </w:p>
    <w:p w14:paraId="4779E629" w14:textId="77777777" w:rsidR="00193219" w:rsidRDefault="00193219" w:rsidP="009D30CE">
      <w:pPr>
        <w:spacing w:line="240" w:lineRule="auto"/>
        <w:rPr>
          <w:rFonts w:cs="Arial"/>
          <w:b/>
          <w:bCs/>
          <w:color w:val="1D2C49"/>
          <w:sz w:val="36"/>
          <w:szCs w:val="36"/>
        </w:rPr>
      </w:pPr>
    </w:p>
    <w:sectPr w:rsidR="00193219" w:rsidSect="001B584B">
      <w:footerReference w:type="default" r:id="rId9"/>
      <w:pgSz w:w="12240" w:h="15840"/>
      <w:pgMar w:top="720" w:right="864" w:bottom="720" w:left="864" w:header="720" w:footer="720" w:gutter="0"/>
      <w:pgBorders w:offsetFrom="page">
        <w:top w:val="single" w:sz="4" w:space="24" w:color="1D2C4C"/>
        <w:left w:val="single" w:sz="4" w:space="24" w:color="1D2C4C"/>
        <w:bottom w:val="single" w:sz="4" w:space="24" w:color="1D2C4C"/>
        <w:right w:val="single" w:sz="4" w:space="24" w:color="1D2C4C"/>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874441" w14:textId="77777777" w:rsidR="00F312F2" w:rsidRDefault="00F312F2" w:rsidP="00E31BE3">
      <w:pPr>
        <w:spacing w:line="240" w:lineRule="auto"/>
      </w:pPr>
      <w:r>
        <w:separator/>
      </w:r>
    </w:p>
  </w:endnote>
  <w:endnote w:type="continuationSeparator" w:id="0">
    <w:p w14:paraId="221BA2B5" w14:textId="77777777" w:rsidR="00F312F2" w:rsidRDefault="00F312F2" w:rsidP="00E31B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0A7BD" w14:textId="4E5B28E4" w:rsidR="00E31BE3" w:rsidRPr="00E31BE3" w:rsidRDefault="00E31BE3">
    <w:pPr>
      <w:pStyle w:val="Footer"/>
      <w:rPr>
        <w:b/>
        <w:bCs/>
        <w:color w:val="1D2C4C"/>
      </w:rPr>
    </w:pPr>
    <w:r w:rsidRPr="00E31BE3">
      <w:rPr>
        <w:b/>
        <w:bCs/>
        <w:noProof/>
        <w:sz w:val="24"/>
      </w:rPr>
      <w:drawing>
        <wp:anchor distT="0" distB="0" distL="114300" distR="114300" simplePos="0" relativeHeight="251659264" behindDoc="0" locked="0" layoutInCell="1" allowOverlap="1" wp14:anchorId="557D47E8" wp14:editId="556DB240">
          <wp:simplePos x="0" y="0"/>
          <wp:positionH relativeFrom="column">
            <wp:posOffset>4213860</wp:posOffset>
          </wp:positionH>
          <wp:positionV relativeFrom="paragraph">
            <wp:posOffset>-22225</wp:posOffset>
          </wp:positionV>
          <wp:extent cx="2526030" cy="304800"/>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6030" cy="304800"/>
                  </a:xfrm>
                  <a:prstGeom prst="rect">
                    <a:avLst/>
                  </a:prstGeom>
                </pic:spPr>
              </pic:pic>
            </a:graphicData>
          </a:graphic>
          <wp14:sizeRelH relativeFrom="page">
            <wp14:pctWidth>0</wp14:pctWidth>
          </wp14:sizeRelH>
          <wp14:sizeRelV relativeFrom="page">
            <wp14:pctHeight>0</wp14:pctHeight>
          </wp14:sizeRelV>
        </wp:anchor>
      </w:drawing>
    </w:r>
    <w:r w:rsidR="00D43143">
      <w:rPr>
        <w:b/>
        <w:bCs/>
        <w:color w:val="1D2C4C"/>
      </w:rPr>
      <w:t>compensation</w:t>
    </w:r>
    <w:r w:rsidRPr="00E31BE3">
      <w:rPr>
        <w:b/>
        <w:bCs/>
        <w:color w:val="1D2C4C"/>
      </w:rPr>
      <w:t>@cascadeemployers.com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D117E0" w14:textId="77777777" w:rsidR="00F312F2" w:rsidRDefault="00F312F2" w:rsidP="00E31BE3">
      <w:pPr>
        <w:spacing w:line="240" w:lineRule="auto"/>
      </w:pPr>
      <w:r>
        <w:separator/>
      </w:r>
    </w:p>
  </w:footnote>
  <w:footnote w:type="continuationSeparator" w:id="0">
    <w:p w14:paraId="26C159CA" w14:textId="77777777" w:rsidR="00F312F2" w:rsidRDefault="00F312F2" w:rsidP="00E31B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D275D"/>
    <w:multiLevelType w:val="hybridMultilevel"/>
    <w:tmpl w:val="977CD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42DF7"/>
    <w:multiLevelType w:val="hybridMultilevel"/>
    <w:tmpl w:val="95848834"/>
    <w:lvl w:ilvl="0" w:tplc="BD8656C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00A4F"/>
    <w:multiLevelType w:val="hybridMultilevel"/>
    <w:tmpl w:val="74A42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B62B4"/>
    <w:multiLevelType w:val="hybridMultilevel"/>
    <w:tmpl w:val="CF129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850D0"/>
    <w:multiLevelType w:val="hybridMultilevel"/>
    <w:tmpl w:val="33827E02"/>
    <w:lvl w:ilvl="0" w:tplc="82D49760">
      <w:numFmt w:val="bullet"/>
      <w:lvlText w:val=""/>
      <w:lvlJc w:val="left"/>
      <w:pPr>
        <w:ind w:left="360" w:hanging="360"/>
      </w:pPr>
      <w:rPr>
        <w:rFonts w:ascii="Wingdings" w:hAnsi="Wingdings" w:cs="Wingdings" w:hint="default"/>
        <w:color w:val="1D2C4C"/>
        <w:w w:val="99"/>
        <w:sz w:val="22"/>
        <w:szCs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7B022F"/>
    <w:multiLevelType w:val="hybridMultilevel"/>
    <w:tmpl w:val="E1120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B14F9"/>
    <w:multiLevelType w:val="hybridMultilevel"/>
    <w:tmpl w:val="01CEA9C8"/>
    <w:lvl w:ilvl="0" w:tplc="D3DEA878">
      <w:numFmt w:val="bullet"/>
      <w:lvlText w:val=""/>
      <w:lvlJc w:val="left"/>
      <w:pPr>
        <w:tabs>
          <w:tab w:val="num" w:pos="-360"/>
        </w:tabs>
        <w:ind w:left="-360" w:hanging="360"/>
      </w:pPr>
      <w:rPr>
        <w:rFonts w:ascii="Wingdings" w:hAnsi="Wingdings" w:cs="Wingdings" w:hint="default"/>
        <w:color w:val="1D2C4C"/>
        <w:w w:val="99"/>
        <w:sz w:val="22"/>
        <w:szCs w:val="22"/>
      </w:rPr>
    </w:lvl>
    <w:lvl w:ilvl="1" w:tplc="FFFFFFFF">
      <w:start w:val="1"/>
      <w:numFmt w:val="bullet"/>
      <w:lvlText w:val="o"/>
      <w:lvlJc w:val="left"/>
      <w:pPr>
        <w:ind w:left="360" w:hanging="360"/>
      </w:pPr>
      <w:rPr>
        <w:rFonts w:ascii="Courier New" w:hAnsi="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7" w15:restartNumberingAfterBreak="0">
    <w:nsid w:val="178A3CE8"/>
    <w:multiLevelType w:val="hybridMultilevel"/>
    <w:tmpl w:val="98A22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A16D8E"/>
    <w:multiLevelType w:val="hybridMultilevel"/>
    <w:tmpl w:val="416A0E2E"/>
    <w:lvl w:ilvl="0" w:tplc="3D345746">
      <w:numFmt w:val="bullet"/>
      <w:lvlText w:val=""/>
      <w:lvlJc w:val="left"/>
      <w:pPr>
        <w:ind w:left="360" w:hanging="360"/>
      </w:pPr>
      <w:rPr>
        <w:rFonts w:ascii="Wingdings" w:hAnsi="Wingdings" w:cs="Wingdings" w:hint="default"/>
        <w:color w:val="1D2C4C"/>
        <w:w w:val="99"/>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5A05A9"/>
    <w:multiLevelType w:val="hybridMultilevel"/>
    <w:tmpl w:val="CD2A7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510E89"/>
    <w:multiLevelType w:val="hybridMultilevel"/>
    <w:tmpl w:val="16FC058A"/>
    <w:lvl w:ilvl="0" w:tplc="FECEDBE2">
      <w:numFmt w:val="bullet"/>
      <w:lvlText w:val=""/>
      <w:lvlJc w:val="left"/>
      <w:pPr>
        <w:ind w:left="360" w:hanging="360"/>
      </w:pPr>
      <w:rPr>
        <w:rFonts w:ascii="Wingdings" w:hAnsi="Wingdings" w:cs="Wingdings" w:hint="default"/>
        <w:color w:val="1D2C4C"/>
        <w:w w:val="99"/>
        <w:sz w:val="22"/>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BC847D2"/>
    <w:multiLevelType w:val="hybridMultilevel"/>
    <w:tmpl w:val="EABE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7846A6"/>
    <w:multiLevelType w:val="hybridMultilevel"/>
    <w:tmpl w:val="17487B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D548F0"/>
    <w:multiLevelType w:val="hybridMultilevel"/>
    <w:tmpl w:val="A6A81996"/>
    <w:lvl w:ilvl="0" w:tplc="FECEDBE2">
      <w:numFmt w:val="bullet"/>
      <w:lvlText w:val=""/>
      <w:lvlJc w:val="left"/>
      <w:pPr>
        <w:ind w:left="360" w:hanging="360"/>
      </w:pPr>
      <w:rPr>
        <w:rFonts w:ascii="Wingdings" w:hAnsi="Wingdings" w:cs="Wingdings" w:hint="default"/>
        <w:color w:val="1D2C4C"/>
        <w:w w:val="99"/>
        <w:sz w:val="22"/>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DA369F0"/>
    <w:multiLevelType w:val="hybridMultilevel"/>
    <w:tmpl w:val="03A4FBC0"/>
    <w:lvl w:ilvl="0" w:tplc="FECEDBE2">
      <w:numFmt w:val="bullet"/>
      <w:lvlText w:val=""/>
      <w:lvlJc w:val="left"/>
      <w:pPr>
        <w:ind w:left="360" w:hanging="360"/>
      </w:pPr>
      <w:rPr>
        <w:rFonts w:ascii="Wingdings" w:hAnsi="Wingdings" w:cs="Wingdings" w:hint="default"/>
        <w:color w:val="1D2C4C"/>
        <w:w w:val="99"/>
        <w:sz w:val="22"/>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43A38E3"/>
    <w:multiLevelType w:val="hybridMultilevel"/>
    <w:tmpl w:val="286AC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7C5413"/>
    <w:multiLevelType w:val="hybridMultilevel"/>
    <w:tmpl w:val="3614F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042372"/>
    <w:multiLevelType w:val="multilevel"/>
    <w:tmpl w:val="27B6CCBE"/>
    <w:lvl w:ilvl="0">
      <w:numFmt w:val="bullet"/>
      <w:lvlText w:val=""/>
      <w:lvlJc w:val="left"/>
      <w:pPr>
        <w:tabs>
          <w:tab w:val="num" w:pos="360"/>
        </w:tabs>
        <w:ind w:left="360" w:hanging="360"/>
      </w:pPr>
      <w:rPr>
        <w:rFonts w:ascii="Wingdings" w:hAnsi="Wingdings" w:cs="Wingdings" w:hint="default"/>
        <w:color w:val="1D2C4C"/>
        <w:w w:val="99"/>
        <w:sz w:val="22"/>
        <w:szCs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586A10FD"/>
    <w:multiLevelType w:val="hybridMultilevel"/>
    <w:tmpl w:val="B8263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2B1729"/>
    <w:multiLevelType w:val="hybridMultilevel"/>
    <w:tmpl w:val="824E7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561A17"/>
    <w:multiLevelType w:val="hybridMultilevel"/>
    <w:tmpl w:val="CC568A70"/>
    <w:lvl w:ilvl="0" w:tplc="FECEDBE2">
      <w:numFmt w:val="bullet"/>
      <w:lvlText w:val=""/>
      <w:lvlJc w:val="left"/>
      <w:pPr>
        <w:ind w:left="360" w:hanging="360"/>
      </w:pPr>
      <w:rPr>
        <w:rFonts w:ascii="Wingdings" w:hAnsi="Wingdings" w:cs="Wingdings" w:hint="default"/>
        <w:color w:val="1D2C4C"/>
        <w:w w:val="99"/>
        <w:sz w:val="22"/>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65220DD6"/>
    <w:multiLevelType w:val="hybridMultilevel"/>
    <w:tmpl w:val="FFFFFFFF"/>
    <w:lvl w:ilvl="0" w:tplc="CA78D65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6C2323"/>
    <w:multiLevelType w:val="hybridMultilevel"/>
    <w:tmpl w:val="38E6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2658803">
    <w:abstractNumId w:val="8"/>
  </w:num>
  <w:num w:numId="2" w16cid:durableId="1130783113">
    <w:abstractNumId w:val="10"/>
  </w:num>
  <w:num w:numId="3" w16cid:durableId="1980451499">
    <w:abstractNumId w:val="13"/>
  </w:num>
  <w:num w:numId="4" w16cid:durableId="13895119">
    <w:abstractNumId w:val="17"/>
  </w:num>
  <w:num w:numId="5" w16cid:durableId="655115340">
    <w:abstractNumId w:val="20"/>
  </w:num>
  <w:num w:numId="6" w16cid:durableId="1908492422">
    <w:abstractNumId w:val="14"/>
  </w:num>
  <w:num w:numId="7" w16cid:durableId="1663661335">
    <w:abstractNumId w:val="21"/>
  </w:num>
  <w:num w:numId="8" w16cid:durableId="1432431287">
    <w:abstractNumId w:val="6"/>
  </w:num>
  <w:num w:numId="9" w16cid:durableId="1218470183">
    <w:abstractNumId w:val="0"/>
  </w:num>
  <w:num w:numId="10" w16cid:durableId="1735616409">
    <w:abstractNumId w:val="12"/>
  </w:num>
  <w:num w:numId="11" w16cid:durableId="2143842843">
    <w:abstractNumId w:val="4"/>
  </w:num>
  <w:num w:numId="12" w16cid:durableId="111823490">
    <w:abstractNumId w:val="7"/>
  </w:num>
  <w:num w:numId="13" w16cid:durableId="758526759">
    <w:abstractNumId w:val="3"/>
  </w:num>
  <w:num w:numId="14" w16cid:durableId="1490556847">
    <w:abstractNumId w:val="19"/>
  </w:num>
  <w:num w:numId="15" w16cid:durableId="1835678802">
    <w:abstractNumId w:val="16"/>
  </w:num>
  <w:num w:numId="16" w16cid:durableId="1691100123">
    <w:abstractNumId w:val="15"/>
  </w:num>
  <w:num w:numId="17" w16cid:durableId="1099719207">
    <w:abstractNumId w:val="11"/>
  </w:num>
  <w:num w:numId="18" w16cid:durableId="1769349455">
    <w:abstractNumId w:val="2"/>
  </w:num>
  <w:num w:numId="19" w16cid:durableId="614294821">
    <w:abstractNumId w:val="22"/>
  </w:num>
  <w:num w:numId="20" w16cid:durableId="1910922706">
    <w:abstractNumId w:val="5"/>
  </w:num>
  <w:num w:numId="21" w16cid:durableId="1073044339">
    <w:abstractNumId w:val="9"/>
  </w:num>
  <w:num w:numId="22" w16cid:durableId="194926891">
    <w:abstractNumId w:val="1"/>
  </w:num>
  <w:num w:numId="23" w16cid:durableId="2008289926">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4B"/>
    <w:rsid w:val="000058D7"/>
    <w:rsid w:val="00030B99"/>
    <w:rsid w:val="000660A6"/>
    <w:rsid w:val="000662A1"/>
    <w:rsid w:val="000C0FF9"/>
    <w:rsid w:val="000F5FE7"/>
    <w:rsid w:val="00100D71"/>
    <w:rsid w:val="00180449"/>
    <w:rsid w:val="00183952"/>
    <w:rsid w:val="0018511A"/>
    <w:rsid w:val="00191125"/>
    <w:rsid w:val="001922C5"/>
    <w:rsid w:val="00193219"/>
    <w:rsid w:val="001B584B"/>
    <w:rsid w:val="001E334E"/>
    <w:rsid w:val="001E583C"/>
    <w:rsid w:val="002055CD"/>
    <w:rsid w:val="0022171D"/>
    <w:rsid w:val="00226FB8"/>
    <w:rsid w:val="00230DD2"/>
    <w:rsid w:val="0029540E"/>
    <w:rsid w:val="002A0D70"/>
    <w:rsid w:val="002C3E09"/>
    <w:rsid w:val="002F6AA5"/>
    <w:rsid w:val="00311072"/>
    <w:rsid w:val="00322995"/>
    <w:rsid w:val="003A1F38"/>
    <w:rsid w:val="003A7451"/>
    <w:rsid w:val="00402CAD"/>
    <w:rsid w:val="00422E08"/>
    <w:rsid w:val="00423533"/>
    <w:rsid w:val="00424543"/>
    <w:rsid w:val="00437B6E"/>
    <w:rsid w:val="00443AF0"/>
    <w:rsid w:val="00467983"/>
    <w:rsid w:val="00470278"/>
    <w:rsid w:val="004766BC"/>
    <w:rsid w:val="004C42D4"/>
    <w:rsid w:val="005E0DF9"/>
    <w:rsid w:val="006076D2"/>
    <w:rsid w:val="00614E9D"/>
    <w:rsid w:val="00646A2F"/>
    <w:rsid w:val="0066669F"/>
    <w:rsid w:val="00673B91"/>
    <w:rsid w:val="00675F51"/>
    <w:rsid w:val="00684B63"/>
    <w:rsid w:val="006E6094"/>
    <w:rsid w:val="007008A6"/>
    <w:rsid w:val="0070586B"/>
    <w:rsid w:val="007614AC"/>
    <w:rsid w:val="00770E9E"/>
    <w:rsid w:val="007905B7"/>
    <w:rsid w:val="007A3347"/>
    <w:rsid w:val="007E39F2"/>
    <w:rsid w:val="0085226A"/>
    <w:rsid w:val="00881005"/>
    <w:rsid w:val="008E0E18"/>
    <w:rsid w:val="008F75B1"/>
    <w:rsid w:val="00915AB8"/>
    <w:rsid w:val="0093116E"/>
    <w:rsid w:val="00956564"/>
    <w:rsid w:val="009701DF"/>
    <w:rsid w:val="00974C22"/>
    <w:rsid w:val="009D204F"/>
    <w:rsid w:val="009D30CE"/>
    <w:rsid w:val="009F554F"/>
    <w:rsid w:val="009F66A4"/>
    <w:rsid w:val="00A53547"/>
    <w:rsid w:val="00A638BD"/>
    <w:rsid w:val="00AA7B73"/>
    <w:rsid w:val="00B45FB6"/>
    <w:rsid w:val="00B47A20"/>
    <w:rsid w:val="00BD668D"/>
    <w:rsid w:val="00C235F0"/>
    <w:rsid w:val="00C356E2"/>
    <w:rsid w:val="00C83B09"/>
    <w:rsid w:val="00C92510"/>
    <w:rsid w:val="00C952C5"/>
    <w:rsid w:val="00D13318"/>
    <w:rsid w:val="00D43143"/>
    <w:rsid w:val="00DB122B"/>
    <w:rsid w:val="00DB422E"/>
    <w:rsid w:val="00DD7801"/>
    <w:rsid w:val="00DE4975"/>
    <w:rsid w:val="00DE601A"/>
    <w:rsid w:val="00DF77CB"/>
    <w:rsid w:val="00E31BE3"/>
    <w:rsid w:val="00E402A8"/>
    <w:rsid w:val="00E42DD1"/>
    <w:rsid w:val="00E42F5A"/>
    <w:rsid w:val="00E82FF8"/>
    <w:rsid w:val="00EE3AFE"/>
    <w:rsid w:val="00EF03D0"/>
    <w:rsid w:val="00F312F2"/>
    <w:rsid w:val="00F3444C"/>
    <w:rsid w:val="00F37583"/>
    <w:rsid w:val="00F44FE5"/>
    <w:rsid w:val="00F56DC5"/>
    <w:rsid w:val="00F75432"/>
    <w:rsid w:val="00F977F8"/>
    <w:rsid w:val="00FA1752"/>
    <w:rsid w:val="00FA4074"/>
    <w:rsid w:val="00FC7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06379"/>
  <w15:chartTrackingRefBased/>
  <w15:docId w15:val="{FCC07409-C716-4680-B012-BD599DA9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US" w:eastAsia="en-US"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56E2"/>
    <w:pPr>
      <w:keepNext/>
      <w:spacing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semiHidden/>
    <w:unhideWhenUsed/>
    <w:qFormat/>
    <w:rsid w:val="009D30C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B584B"/>
    <w:pPr>
      <w:spacing w:line="340" w:lineRule="exact"/>
      <w:outlineLvl w:val="1"/>
    </w:pPr>
    <w:rPr>
      <w:rFonts w:eastAsia="Times New Roman" w:cs="Times New Roman"/>
      <w:b/>
      <w:sz w:val="28"/>
      <w:szCs w:val="20"/>
    </w:rPr>
  </w:style>
  <w:style w:type="character" w:customStyle="1" w:styleId="SubtitleChar">
    <w:name w:val="Subtitle Char"/>
    <w:basedOn w:val="DefaultParagraphFont"/>
    <w:link w:val="Subtitle"/>
    <w:rsid w:val="001B584B"/>
    <w:rPr>
      <w:rFonts w:eastAsia="Times New Roman" w:cs="Times New Roman"/>
      <w:b/>
      <w:sz w:val="28"/>
      <w:szCs w:val="20"/>
    </w:rPr>
  </w:style>
  <w:style w:type="paragraph" w:styleId="ListParagraph">
    <w:name w:val="List Paragraph"/>
    <w:basedOn w:val="Normal"/>
    <w:uiPriority w:val="34"/>
    <w:qFormat/>
    <w:rsid w:val="001B584B"/>
    <w:pPr>
      <w:spacing w:line="340" w:lineRule="exact"/>
      <w:ind w:left="720"/>
    </w:pPr>
    <w:rPr>
      <w:rFonts w:ascii="Garamond" w:eastAsia="Times New Roman" w:hAnsi="Garamond" w:cs="Times New Roman"/>
      <w:sz w:val="24"/>
      <w:szCs w:val="20"/>
    </w:rPr>
  </w:style>
  <w:style w:type="paragraph" w:styleId="TOC1">
    <w:name w:val="toc 1"/>
    <w:basedOn w:val="Normal"/>
    <w:next w:val="Normal"/>
    <w:autoRedefine/>
    <w:semiHidden/>
    <w:rsid w:val="00E402A8"/>
    <w:pPr>
      <w:ind w:left="360"/>
    </w:pPr>
    <w:rPr>
      <w:rFonts w:eastAsia="Times New Roman" w:cs="Arial"/>
    </w:rPr>
  </w:style>
  <w:style w:type="paragraph" w:styleId="Header">
    <w:name w:val="header"/>
    <w:basedOn w:val="Normal"/>
    <w:link w:val="HeaderChar"/>
    <w:uiPriority w:val="99"/>
    <w:unhideWhenUsed/>
    <w:rsid w:val="00E31BE3"/>
    <w:pPr>
      <w:tabs>
        <w:tab w:val="center" w:pos="4680"/>
        <w:tab w:val="right" w:pos="9360"/>
      </w:tabs>
      <w:spacing w:line="240" w:lineRule="auto"/>
    </w:pPr>
  </w:style>
  <w:style w:type="character" w:customStyle="1" w:styleId="HeaderChar">
    <w:name w:val="Header Char"/>
    <w:basedOn w:val="DefaultParagraphFont"/>
    <w:link w:val="Header"/>
    <w:uiPriority w:val="99"/>
    <w:rsid w:val="00E31BE3"/>
  </w:style>
  <w:style w:type="paragraph" w:styleId="Footer">
    <w:name w:val="footer"/>
    <w:basedOn w:val="Normal"/>
    <w:link w:val="FooterChar"/>
    <w:uiPriority w:val="99"/>
    <w:unhideWhenUsed/>
    <w:rsid w:val="00E31BE3"/>
    <w:pPr>
      <w:tabs>
        <w:tab w:val="center" w:pos="4680"/>
        <w:tab w:val="right" w:pos="9360"/>
      </w:tabs>
      <w:spacing w:line="240" w:lineRule="auto"/>
    </w:pPr>
  </w:style>
  <w:style w:type="character" w:customStyle="1" w:styleId="FooterChar">
    <w:name w:val="Footer Char"/>
    <w:basedOn w:val="DefaultParagraphFont"/>
    <w:link w:val="Footer"/>
    <w:uiPriority w:val="99"/>
    <w:rsid w:val="00E31BE3"/>
  </w:style>
  <w:style w:type="character" w:customStyle="1" w:styleId="Heading1Char">
    <w:name w:val="Heading 1 Char"/>
    <w:basedOn w:val="DefaultParagraphFont"/>
    <w:link w:val="Heading1"/>
    <w:rsid w:val="00C356E2"/>
    <w:rPr>
      <w:rFonts w:ascii="Times New Roman" w:eastAsia="Times New Roman" w:hAnsi="Times New Roman" w:cs="Times New Roman"/>
      <w:sz w:val="24"/>
      <w:szCs w:val="20"/>
    </w:rPr>
  </w:style>
  <w:style w:type="paragraph" w:styleId="BodyText">
    <w:name w:val="Body Text"/>
    <w:basedOn w:val="Normal"/>
    <w:link w:val="BodyTextChar"/>
    <w:rsid w:val="00C356E2"/>
    <w:pPr>
      <w:spacing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356E2"/>
    <w:rPr>
      <w:rFonts w:ascii="Times New Roman" w:eastAsia="Times New Roman" w:hAnsi="Times New Roman" w:cs="Times New Roman"/>
      <w:sz w:val="24"/>
      <w:szCs w:val="20"/>
    </w:rPr>
  </w:style>
  <w:style w:type="paragraph" w:styleId="FootnoteText">
    <w:name w:val="footnote text"/>
    <w:basedOn w:val="Normal"/>
    <w:link w:val="FootnoteTextChar"/>
    <w:rsid w:val="006E6094"/>
    <w:pPr>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E6094"/>
    <w:rPr>
      <w:rFonts w:ascii="Times New Roman" w:eastAsia="Times New Roman" w:hAnsi="Times New Roman" w:cs="Times New Roman"/>
      <w:sz w:val="20"/>
      <w:szCs w:val="20"/>
    </w:rPr>
  </w:style>
  <w:style w:type="character" w:styleId="FootnoteReference">
    <w:name w:val="footnote reference"/>
    <w:rsid w:val="006E6094"/>
    <w:rPr>
      <w:vertAlign w:val="superscript"/>
    </w:rPr>
  </w:style>
  <w:style w:type="character" w:styleId="Hyperlink">
    <w:name w:val="Hyperlink"/>
    <w:rsid w:val="00422E08"/>
    <w:rPr>
      <w:color w:val="0000FF"/>
      <w:u w:val="single"/>
    </w:rPr>
  </w:style>
  <w:style w:type="paragraph" w:styleId="Revision">
    <w:name w:val="Revision"/>
    <w:hidden/>
    <w:uiPriority w:val="99"/>
    <w:semiHidden/>
    <w:rsid w:val="00322995"/>
    <w:pPr>
      <w:spacing w:line="240" w:lineRule="auto"/>
    </w:pPr>
  </w:style>
  <w:style w:type="character" w:styleId="CommentReference">
    <w:name w:val="annotation reference"/>
    <w:basedOn w:val="DefaultParagraphFont"/>
    <w:uiPriority w:val="99"/>
    <w:semiHidden/>
    <w:unhideWhenUsed/>
    <w:rsid w:val="00E42F5A"/>
    <w:rPr>
      <w:sz w:val="16"/>
      <w:szCs w:val="16"/>
    </w:rPr>
  </w:style>
  <w:style w:type="paragraph" w:styleId="CommentText">
    <w:name w:val="annotation text"/>
    <w:basedOn w:val="Normal"/>
    <w:link w:val="CommentTextChar"/>
    <w:uiPriority w:val="99"/>
    <w:unhideWhenUsed/>
    <w:rsid w:val="00E42F5A"/>
    <w:pPr>
      <w:spacing w:line="240" w:lineRule="auto"/>
    </w:pPr>
    <w:rPr>
      <w:sz w:val="20"/>
      <w:szCs w:val="20"/>
    </w:rPr>
  </w:style>
  <w:style w:type="character" w:customStyle="1" w:styleId="CommentTextChar">
    <w:name w:val="Comment Text Char"/>
    <w:basedOn w:val="DefaultParagraphFont"/>
    <w:link w:val="CommentText"/>
    <w:uiPriority w:val="99"/>
    <w:rsid w:val="00E42F5A"/>
    <w:rPr>
      <w:sz w:val="20"/>
      <w:szCs w:val="20"/>
    </w:rPr>
  </w:style>
  <w:style w:type="paragraph" w:styleId="CommentSubject">
    <w:name w:val="annotation subject"/>
    <w:basedOn w:val="CommentText"/>
    <w:next w:val="CommentText"/>
    <w:link w:val="CommentSubjectChar"/>
    <w:uiPriority w:val="99"/>
    <w:semiHidden/>
    <w:unhideWhenUsed/>
    <w:rsid w:val="00E42F5A"/>
    <w:rPr>
      <w:b/>
      <w:bCs/>
    </w:rPr>
  </w:style>
  <w:style w:type="character" w:customStyle="1" w:styleId="CommentSubjectChar">
    <w:name w:val="Comment Subject Char"/>
    <w:basedOn w:val="CommentTextChar"/>
    <w:link w:val="CommentSubject"/>
    <w:uiPriority w:val="99"/>
    <w:semiHidden/>
    <w:rsid w:val="00E42F5A"/>
    <w:rPr>
      <w:b/>
      <w:bCs/>
      <w:sz w:val="20"/>
      <w:szCs w:val="20"/>
    </w:rPr>
  </w:style>
  <w:style w:type="character" w:styleId="UnresolvedMention">
    <w:name w:val="Unresolved Mention"/>
    <w:basedOn w:val="DefaultParagraphFont"/>
    <w:uiPriority w:val="99"/>
    <w:semiHidden/>
    <w:unhideWhenUsed/>
    <w:rsid w:val="00A638BD"/>
    <w:rPr>
      <w:color w:val="605E5C"/>
      <w:shd w:val="clear" w:color="auto" w:fill="E1DFDD"/>
    </w:rPr>
  </w:style>
  <w:style w:type="character" w:customStyle="1" w:styleId="Heading2Char">
    <w:name w:val="Heading 2 Char"/>
    <w:basedOn w:val="DefaultParagraphFont"/>
    <w:link w:val="Heading2"/>
    <w:uiPriority w:val="9"/>
    <w:semiHidden/>
    <w:rsid w:val="009D30CE"/>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614E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ensation@cascadeemployer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1D63A-3677-44F1-BAB3-CBE0B7901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823</Words>
  <Characters>4692</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VanDyke</dc:creator>
  <cp:keywords/>
  <dc:description/>
  <cp:lastModifiedBy>Angela Bergerson</cp:lastModifiedBy>
  <cp:revision>2</cp:revision>
  <cp:lastPrinted>2022-03-11T21:00:00Z</cp:lastPrinted>
  <dcterms:created xsi:type="dcterms:W3CDTF">2024-12-23T16:48:00Z</dcterms:created>
  <dcterms:modified xsi:type="dcterms:W3CDTF">2024-12-23T16:48:00Z</dcterms:modified>
</cp:coreProperties>
</file>