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D1C0B" w14:textId="5B4BC3CB" w:rsidR="00C356E2" w:rsidRPr="00DE601A" w:rsidRDefault="00D43143" w:rsidP="00C356E2">
      <w:pPr>
        <w:spacing w:line="240" w:lineRule="auto"/>
        <w:rPr>
          <w:rFonts w:eastAsia="DFKai-SB" w:cs="Arial"/>
          <w:b/>
          <w:color w:val="1D2C4C"/>
          <w:sz w:val="36"/>
        </w:rPr>
      </w:pPr>
      <w:r>
        <w:rPr>
          <w:rFonts w:eastAsia="DFKai-SB" w:cs="Arial"/>
          <w:b/>
          <w:color w:val="1D2C4C"/>
          <w:sz w:val="60"/>
          <w:szCs w:val="60"/>
        </w:rPr>
        <w:t>Compensation Philosophy and Strategy Guide</w:t>
      </w:r>
    </w:p>
    <w:p w14:paraId="2CE7B854" w14:textId="3A0D4C97" w:rsidR="001B584B" w:rsidRPr="009F66A4" w:rsidRDefault="001B584B" w:rsidP="001B584B">
      <w:pPr>
        <w:spacing w:line="240" w:lineRule="auto"/>
        <w:rPr>
          <w:b/>
          <w:bCs/>
          <w:color w:val="002060"/>
        </w:rPr>
      </w:pPr>
    </w:p>
    <w:p w14:paraId="2B40096F" w14:textId="52B6B33A" w:rsidR="001B584B" w:rsidRPr="009F66A4" w:rsidRDefault="001B584B" w:rsidP="001B584B">
      <w:pPr>
        <w:spacing w:line="240" w:lineRule="auto"/>
        <w:rPr>
          <w:b/>
          <w:bCs/>
          <w:color w:val="002060"/>
        </w:rPr>
      </w:pPr>
    </w:p>
    <w:p w14:paraId="1CF07D00" w14:textId="77777777" w:rsidR="00D43143" w:rsidRDefault="00D43143" w:rsidP="00D43143">
      <w:pPr>
        <w:spacing w:line="240" w:lineRule="auto"/>
        <w:rPr>
          <w:rFonts w:cs="Arial"/>
          <w:b/>
          <w:bCs/>
          <w:color w:val="1D2C49"/>
          <w:sz w:val="36"/>
          <w:szCs w:val="36"/>
        </w:rPr>
      </w:pPr>
      <w:r w:rsidRPr="00D43143">
        <w:rPr>
          <w:rFonts w:cs="Arial"/>
          <w:b/>
          <w:bCs/>
          <w:color w:val="1D2C49"/>
          <w:sz w:val="36"/>
          <w:szCs w:val="36"/>
        </w:rPr>
        <w:t>What is a Compensation Philosophy?</w:t>
      </w:r>
    </w:p>
    <w:p w14:paraId="79CFC8CA" w14:textId="77777777" w:rsidR="00D43143" w:rsidRPr="00D43143" w:rsidRDefault="00D43143" w:rsidP="00D43143">
      <w:pPr>
        <w:spacing w:line="240" w:lineRule="auto"/>
        <w:rPr>
          <w:rFonts w:cs="Arial"/>
          <w:color w:val="1D2C49"/>
          <w:sz w:val="36"/>
          <w:szCs w:val="36"/>
        </w:rPr>
      </w:pPr>
    </w:p>
    <w:p w14:paraId="50F83880" w14:textId="77777777" w:rsidR="00D43143" w:rsidRPr="008B61F3" w:rsidRDefault="00D43143" w:rsidP="00D43143">
      <w:pPr>
        <w:numPr>
          <w:ilvl w:val="0"/>
          <w:numId w:val="14"/>
        </w:numPr>
        <w:tabs>
          <w:tab w:val="num" w:pos="720"/>
        </w:tabs>
        <w:spacing w:after="120"/>
        <w:rPr>
          <w:rFonts w:cs="Arial"/>
        </w:rPr>
      </w:pPr>
      <w:r w:rsidRPr="008B61F3">
        <w:rPr>
          <w:rFonts w:cs="Arial"/>
        </w:rPr>
        <w:t>A compensation philosophy is a formal statement outlining the principles that guide an organization’s approach to employee pay.</w:t>
      </w:r>
    </w:p>
    <w:p w14:paraId="5D9C559F" w14:textId="77777777" w:rsidR="00D43143" w:rsidRPr="008B61F3" w:rsidRDefault="00D43143" w:rsidP="00D43143">
      <w:pPr>
        <w:numPr>
          <w:ilvl w:val="0"/>
          <w:numId w:val="41"/>
        </w:numPr>
        <w:spacing w:after="120"/>
        <w:rPr>
          <w:rFonts w:cs="Arial"/>
        </w:rPr>
      </w:pPr>
      <w:r w:rsidRPr="008B61F3">
        <w:rPr>
          <w:rFonts w:cs="Arial"/>
        </w:rPr>
        <w:t xml:space="preserve">It defines the “why” behind compensation decisions and ties into the </w:t>
      </w:r>
      <w:r>
        <w:rPr>
          <w:rFonts w:cs="Arial"/>
        </w:rPr>
        <w:t>organization’</w:t>
      </w:r>
      <w:r w:rsidRPr="008B61F3">
        <w:rPr>
          <w:rFonts w:cs="Arial"/>
        </w:rPr>
        <w:t>s mission, values, and overall business strategy.</w:t>
      </w:r>
    </w:p>
    <w:p w14:paraId="41A284F0" w14:textId="77B51C7B" w:rsidR="00D43143" w:rsidRPr="00D43143" w:rsidRDefault="00D43143" w:rsidP="00D43143">
      <w:pPr>
        <w:numPr>
          <w:ilvl w:val="0"/>
          <w:numId w:val="41"/>
        </w:numPr>
        <w:spacing w:after="120"/>
        <w:rPr>
          <w:rFonts w:cs="Arial"/>
        </w:rPr>
      </w:pPr>
      <w:r w:rsidRPr="00D43143">
        <w:rPr>
          <w:rFonts w:cs="Arial"/>
        </w:rPr>
        <w:t>It serves as a consistent framework for determining pay and benefits, ensuring fairness, competitiveness, and alignment with business goals.</w:t>
      </w:r>
    </w:p>
    <w:p w14:paraId="33FE288B" w14:textId="77777777" w:rsidR="00D43143" w:rsidRDefault="00D43143" w:rsidP="00D43143">
      <w:pPr>
        <w:spacing w:line="240" w:lineRule="auto"/>
        <w:rPr>
          <w:rFonts w:cs="Arial"/>
          <w:b/>
          <w:bCs/>
          <w:color w:val="1D2C49"/>
          <w:sz w:val="36"/>
          <w:szCs w:val="36"/>
        </w:rPr>
      </w:pPr>
    </w:p>
    <w:p w14:paraId="435045D1" w14:textId="7A128827" w:rsidR="00D43143" w:rsidRDefault="00D43143" w:rsidP="00D43143">
      <w:pPr>
        <w:spacing w:line="240" w:lineRule="auto"/>
        <w:rPr>
          <w:rFonts w:cs="Arial"/>
          <w:b/>
          <w:bCs/>
          <w:color w:val="1D2C49"/>
          <w:sz w:val="36"/>
          <w:szCs w:val="36"/>
        </w:rPr>
      </w:pPr>
      <w:r w:rsidRPr="00D43143">
        <w:rPr>
          <w:rFonts w:cs="Arial"/>
          <w:b/>
          <w:bCs/>
          <w:color w:val="1D2C49"/>
          <w:sz w:val="36"/>
          <w:szCs w:val="36"/>
        </w:rPr>
        <w:t>Key Elements of a Compensation Philosophy</w:t>
      </w:r>
    </w:p>
    <w:p w14:paraId="29ABBC3E" w14:textId="77777777" w:rsidR="00D43143" w:rsidRPr="00D43143" w:rsidRDefault="00D43143" w:rsidP="00D43143">
      <w:pPr>
        <w:spacing w:line="240" w:lineRule="auto"/>
        <w:rPr>
          <w:rFonts w:cs="Arial"/>
          <w:b/>
          <w:bCs/>
          <w:color w:val="1D2C49"/>
          <w:sz w:val="36"/>
          <w:szCs w:val="36"/>
        </w:rPr>
      </w:pPr>
    </w:p>
    <w:p w14:paraId="7993484D" w14:textId="77777777" w:rsidR="00D43143" w:rsidRPr="00D43143" w:rsidRDefault="00D43143" w:rsidP="00D43143">
      <w:pPr>
        <w:pStyle w:val="ListParagraph"/>
        <w:numPr>
          <w:ilvl w:val="0"/>
          <w:numId w:val="42"/>
        </w:numPr>
        <w:spacing w:after="120" w:line="300" w:lineRule="exact"/>
        <w:rPr>
          <w:rFonts w:ascii="Arial" w:hAnsi="Arial" w:cs="Arial"/>
          <w:sz w:val="22"/>
          <w:szCs w:val="22"/>
        </w:rPr>
      </w:pPr>
      <w:r w:rsidRPr="000C0FF9">
        <w:rPr>
          <w:rFonts w:ascii="Arial" w:hAnsi="Arial" w:cs="Arial"/>
          <w:b/>
          <w:bCs/>
          <w:color w:val="1D2C49"/>
          <w:sz w:val="22"/>
          <w:szCs w:val="22"/>
        </w:rPr>
        <w:t>Business Alignment:</w:t>
      </w:r>
      <w:r w:rsidRPr="000C0FF9">
        <w:rPr>
          <w:rFonts w:ascii="Arial" w:hAnsi="Arial" w:cs="Arial"/>
          <w:color w:val="1D2C49"/>
          <w:sz w:val="22"/>
          <w:szCs w:val="22"/>
        </w:rPr>
        <w:t xml:space="preserve"> </w:t>
      </w:r>
      <w:r w:rsidRPr="00D43143">
        <w:rPr>
          <w:rFonts w:ascii="Arial" w:hAnsi="Arial" w:cs="Arial"/>
          <w:sz w:val="22"/>
          <w:szCs w:val="22"/>
        </w:rPr>
        <w:t>Reflects the organization’s strategic plan, financial capacity, and competitive positioning.</w:t>
      </w:r>
    </w:p>
    <w:p w14:paraId="2249A8F6" w14:textId="77777777" w:rsidR="00D43143" w:rsidRPr="00D43143" w:rsidRDefault="00D43143" w:rsidP="00D43143">
      <w:pPr>
        <w:pStyle w:val="ListParagraph"/>
        <w:numPr>
          <w:ilvl w:val="0"/>
          <w:numId w:val="42"/>
        </w:numPr>
        <w:spacing w:after="120" w:line="300" w:lineRule="exact"/>
        <w:rPr>
          <w:rFonts w:ascii="Arial" w:hAnsi="Arial" w:cs="Arial"/>
          <w:sz w:val="22"/>
          <w:szCs w:val="22"/>
        </w:rPr>
      </w:pPr>
      <w:r w:rsidRPr="000C0FF9">
        <w:rPr>
          <w:rFonts w:ascii="Arial" w:hAnsi="Arial" w:cs="Arial"/>
          <w:b/>
          <w:bCs/>
          <w:color w:val="1D2C49"/>
          <w:sz w:val="22"/>
          <w:szCs w:val="22"/>
        </w:rPr>
        <w:t>Fairness &amp; Equity:</w:t>
      </w:r>
      <w:r w:rsidRPr="00D43143">
        <w:rPr>
          <w:rFonts w:ascii="Arial" w:hAnsi="Arial" w:cs="Arial"/>
          <w:sz w:val="22"/>
          <w:szCs w:val="22"/>
        </w:rPr>
        <w:t xml:space="preserve"> Supports equal pay for comparable work, promoting internal equity.</w:t>
      </w:r>
    </w:p>
    <w:p w14:paraId="7EE3A9EC" w14:textId="77777777" w:rsidR="00D43143" w:rsidRPr="00D43143" w:rsidRDefault="00D43143" w:rsidP="00D43143">
      <w:pPr>
        <w:pStyle w:val="ListParagraph"/>
        <w:numPr>
          <w:ilvl w:val="0"/>
          <w:numId w:val="42"/>
        </w:numPr>
        <w:spacing w:after="120" w:line="300" w:lineRule="exact"/>
        <w:rPr>
          <w:rFonts w:ascii="Arial" w:hAnsi="Arial" w:cs="Arial"/>
          <w:sz w:val="22"/>
          <w:szCs w:val="22"/>
        </w:rPr>
      </w:pPr>
      <w:r w:rsidRPr="000C0FF9">
        <w:rPr>
          <w:rFonts w:ascii="Arial" w:hAnsi="Arial" w:cs="Arial"/>
          <w:b/>
          <w:bCs/>
          <w:color w:val="1D2C49"/>
          <w:sz w:val="22"/>
          <w:szCs w:val="22"/>
        </w:rPr>
        <w:t>Market Competitiveness:</w:t>
      </w:r>
      <w:r w:rsidRPr="00D43143">
        <w:rPr>
          <w:rFonts w:ascii="Arial" w:hAnsi="Arial" w:cs="Arial"/>
          <w:sz w:val="22"/>
          <w:szCs w:val="22"/>
        </w:rPr>
        <w:t xml:space="preserve"> Defines the organization’s stance in relation to the external market (e.g., paying at the median or above market rates).</w:t>
      </w:r>
    </w:p>
    <w:p w14:paraId="7EFACAA7" w14:textId="77777777" w:rsidR="00D43143" w:rsidRPr="00D43143" w:rsidRDefault="00D43143" w:rsidP="00D43143">
      <w:pPr>
        <w:pStyle w:val="ListParagraph"/>
        <w:numPr>
          <w:ilvl w:val="0"/>
          <w:numId w:val="42"/>
        </w:numPr>
        <w:spacing w:after="120" w:line="300" w:lineRule="exact"/>
        <w:rPr>
          <w:rFonts w:ascii="Arial" w:hAnsi="Arial" w:cs="Arial"/>
          <w:sz w:val="22"/>
          <w:szCs w:val="22"/>
        </w:rPr>
      </w:pPr>
      <w:r w:rsidRPr="000C0FF9">
        <w:rPr>
          <w:rFonts w:ascii="Arial" w:hAnsi="Arial" w:cs="Arial"/>
          <w:b/>
          <w:bCs/>
          <w:color w:val="1D2C49"/>
          <w:sz w:val="22"/>
          <w:szCs w:val="22"/>
        </w:rPr>
        <w:t>Total Rewards Approach:</w:t>
      </w:r>
      <w:r w:rsidRPr="00D43143">
        <w:rPr>
          <w:rFonts w:ascii="Arial" w:hAnsi="Arial" w:cs="Arial"/>
          <w:sz w:val="22"/>
          <w:szCs w:val="22"/>
        </w:rPr>
        <w:t xml:space="preserve"> Identifies key compensation elements such as base pay, bonuses, benefits, and incentives.</w:t>
      </w:r>
    </w:p>
    <w:p w14:paraId="763D55B0" w14:textId="77777777" w:rsidR="00D43143" w:rsidRPr="00D43143" w:rsidRDefault="00D43143" w:rsidP="00D43143">
      <w:pPr>
        <w:pStyle w:val="ListParagraph"/>
        <w:numPr>
          <w:ilvl w:val="0"/>
          <w:numId w:val="42"/>
        </w:numPr>
        <w:spacing w:after="120" w:line="300" w:lineRule="exact"/>
        <w:rPr>
          <w:rFonts w:ascii="Arial" w:hAnsi="Arial" w:cs="Arial"/>
          <w:sz w:val="22"/>
          <w:szCs w:val="22"/>
        </w:rPr>
      </w:pPr>
      <w:r w:rsidRPr="000C0FF9">
        <w:rPr>
          <w:rFonts w:ascii="Arial" w:hAnsi="Arial" w:cs="Arial"/>
          <w:b/>
          <w:bCs/>
          <w:color w:val="1D2C49"/>
          <w:sz w:val="22"/>
          <w:szCs w:val="22"/>
        </w:rPr>
        <w:t>Talent Motivation:</w:t>
      </w:r>
      <w:r w:rsidRPr="00D43143">
        <w:rPr>
          <w:rFonts w:ascii="Arial" w:hAnsi="Arial" w:cs="Arial"/>
          <w:sz w:val="22"/>
          <w:szCs w:val="22"/>
        </w:rPr>
        <w:t xml:space="preserve"> Outlines how pay will be used to motivate performance and retain high-performing employees.</w:t>
      </w:r>
    </w:p>
    <w:p w14:paraId="37C6F2C8" w14:textId="77777777" w:rsidR="00D43143" w:rsidRDefault="00D43143" w:rsidP="00D43143">
      <w:pPr>
        <w:spacing w:line="240" w:lineRule="auto"/>
        <w:rPr>
          <w:rFonts w:cs="Arial"/>
          <w:b/>
          <w:bCs/>
          <w:color w:val="1D2C49"/>
          <w:sz w:val="36"/>
          <w:szCs w:val="36"/>
        </w:rPr>
      </w:pPr>
    </w:p>
    <w:p w14:paraId="2A0D25DE" w14:textId="12D2B06D" w:rsidR="00D43143" w:rsidRDefault="00D43143" w:rsidP="00D43143">
      <w:pPr>
        <w:spacing w:line="240" w:lineRule="auto"/>
        <w:rPr>
          <w:rFonts w:cs="Arial"/>
          <w:b/>
          <w:bCs/>
          <w:color w:val="1D2C49"/>
          <w:sz w:val="36"/>
          <w:szCs w:val="36"/>
        </w:rPr>
      </w:pPr>
      <w:r w:rsidRPr="00D43143">
        <w:rPr>
          <w:rFonts w:cs="Arial"/>
          <w:b/>
          <w:bCs/>
          <w:color w:val="1D2C49"/>
          <w:sz w:val="36"/>
          <w:szCs w:val="36"/>
        </w:rPr>
        <w:t>What is a Compensation Strategy?</w:t>
      </w:r>
    </w:p>
    <w:p w14:paraId="7EB0AD84" w14:textId="77777777" w:rsidR="00D43143" w:rsidRPr="00D43143" w:rsidRDefault="00D43143" w:rsidP="00D43143">
      <w:pPr>
        <w:spacing w:line="240" w:lineRule="auto"/>
        <w:rPr>
          <w:rFonts w:cs="Arial"/>
          <w:b/>
          <w:bCs/>
          <w:color w:val="1D2C49"/>
          <w:sz w:val="36"/>
          <w:szCs w:val="36"/>
        </w:rPr>
      </w:pPr>
    </w:p>
    <w:p w14:paraId="557282E6" w14:textId="77777777" w:rsidR="00D43143" w:rsidRPr="008B61F3" w:rsidRDefault="00D43143" w:rsidP="00D43143">
      <w:pPr>
        <w:numPr>
          <w:ilvl w:val="0"/>
          <w:numId w:val="43"/>
        </w:numPr>
        <w:spacing w:after="120"/>
        <w:rPr>
          <w:rFonts w:cs="Arial"/>
        </w:rPr>
      </w:pPr>
      <w:r>
        <w:rPr>
          <w:rFonts w:cs="Arial"/>
        </w:rPr>
        <w:t>A</w:t>
      </w:r>
      <w:r w:rsidRPr="008B61F3">
        <w:rPr>
          <w:rFonts w:cs="Arial"/>
        </w:rPr>
        <w:t xml:space="preserve"> compensation strategy </w:t>
      </w:r>
      <w:r>
        <w:rPr>
          <w:rFonts w:cs="Arial"/>
        </w:rPr>
        <w:t>is the action taken to</w:t>
      </w:r>
      <w:r w:rsidRPr="008B61F3">
        <w:rPr>
          <w:rFonts w:cs="Arial"/>
        </w:rPr>
        <w:t xml:space="preserve"> </w:t>
      </w:r>
      <w:r>
        <w:rPr>
          <w:rFonts w:cs="Arial"/>
        </w:rPr>
        <w:t>implement the compensation philosophy.</w:t>
      </w:r>
    </w:p>
    <w:p w14:paraId="251495D0" w14:textId="77777777" w:rsidR="00D43143" w:rsidRPr="008B61F3" w:rsidRDefault="00D43143" w:rsidP="00D43143">
      <w:pPr>
        <w:numPr>
          <w:ilvl w:val="0"/>
          <w:numId w:val="43"/>
        </w:numPr>
        <w:spacing w:after="120"/>
        <w:rPr>
          <w:rFonts w:cs="Arial"/>
        </w:rPr>
      </w:pPr>
      <w:r w:rsidRPr="008B61F3">
        <w:rPr>
          <w:rFonts w:cs="Arial"/>
        </w:rPr>
        <w:t>It defines “how”</w:t>
      </w:r>
      <w:r>
        <w:rPr>
          <w:rFonts w:cs="Arial"/>
        </w:rPr>
        <w:t xml:space="preserve"> employees are compensated</w:t>
      </w:r>
      <w:r w:rsidRPr="008B61F3">
        <w:rPr>
          <w:rFonts w:cs="Arial"/>
        </w:rPr>
        <w:t xml:space="preserve"> and “for what</w:t>
      </w:r>
      <w:r>
        <w:rPr>
          <w:rFonts w:cs="Arial"/>
        </w:rPr>
        <w:t>.”</w:t>
      </w:r>
    </w:p>
    <w:p w14:paraId="21C40164" w14:textId="77777777" w:rsidR="00D43143" w:rsidRPr="008B61F3" w:rsidRDefault="00D43143" w:rsidP="00D43143">
      <w:pPr>
        <w:numPr>
          <w:ilvl w:val="0"/>
          <w:numId w:val="43"/>
        </w:numPr>
        <w:spacing w:after="120"/>
        <w:rPr>
          <w:rFonts w:cs="Arial"/>
        </w:rPr>
      </w:pPr>
      <w:r>
        <w:rPr>
          <w:rFonts w:cs="Arial"/>
        </w:rPr>
        <w:t>It p</w:t>
      </w:r>
      <w:r w:rsidRPr="008B61F3">
        <w:rPr>
          <w:rFonts w:cs="Arial"/>
        </w:rPr>
        <w:t>rovides detailed guidance on the administration of pay plans, balancing fixed and variable pay, and aligning with market conditions.</w:t>
      </w:r>
    </w:p>
    <w:p w14:paraId="4467911B" w14:textId="77777777" w:rsidR="00D43143" w:rsidRDefault="00D43143" w:rsidP="00D43143">
      <w:pPr>
        <w:spacing w:line="240" w:lineRule="auto"/>
        <w:rPr>
          <w:rFonts w:cs="Arial"/>
          <w:b/>
          <w:bCs/>
          <w:color w:val="1D2C49"/>
          <w:sz w:val="36"/>
          <w:szCs w:val="36"/>
        </w:rPr>
      </w:pPr>
    </w:p>
    <w:p w14:paraId="50D4196A" w14:textId="77777777" w:rsidR="00D43143" w:rsidRDefault="00D43143">
      <w:pPr>
        <w:rPr>
          <w:rFonts w:cs="Arial"/>
          <w:b/>
          <w:bCs/>
          <w:color w:val="1D2C49"/>
          <w:sz w:val="36"/>
          <w:szCs w:val="36"/>
        </w:rPr>
      </w:pPr>
      <w:r>
        <w:rPr>
          <w:rFonts w:cs="Arial"/>
          <w:b/>
          <w:bCs/>
          <w:color w:val="1D2C49"/>
          <w:sz w:val="36"/>
          <w:szCs w:val="36"/>
        </w:rPr>
        <w:br w:type="page"/>
      </w:r>
    </w:p>
    <w:p w14:paraId="77760EF9" w14:textId="5AFDAC9E" w:rsidR="00D43143" w:rsidRDefault="00D43143" w:rsidP="00D43143">
      <w:pPr>
        <w:spacing w:line="240" w:lineRule="auto"/>
        <w:rPr>
          <w:rFonts w:cs="Arial"/>
          <w:b/>
          <w:bCs/>
          <w:color w:val="1D2C49"/>
          <w:sz w:val="36"/>
          <w:szCs w:val="36"/>
        </w:rPr>
      </w:pPr>
      <w:r w:rsidRPr="00D43143">
        <w:rPr>
          <w:rFonts w:cs="Arial"/>
          <w:b/>
          <w:bCs/>
          <w:color w:val="1D2C49"/>
          <w:sz w:val="36"/>
          <w:szCs w:val="36"/>
        </w:rPr>
        <w:lastRenderedPageBreak/>
        <w:t>Key Components of a Compensation Strategy</w:t>
      </w:r>
    </w:p>
    <w:p w14:paraId="6F9C9067" w14:textId="77777777" w:rsidR="00D43143" w:rsidRPr="00D43143" w:rsidRDefault="00D43143" w:rsidP="00D43143">
      <w:pPr>
        <w:spacing w:line="240" w:lineRule="auto"/>
        <w:rPr>
          <w:rFonts w:cs="Arial"/>
          <w:b/>
          <w:bCs/>
          <w:color w:val="1D2C49"/>
          <w:sz w:val="36"/>
          <w:szCs w:val="36"/>
        </w:rPr>
      </w:pPr>
    </w:p>
    <w:p w14:paraId="072968C3" w14:textId="77777777" w:rsidR="00D43143" w:rsidRPr="00D43143" w:rsidRDefault="00D43143" w:rsidP="00D43143">
      <w:pPr>
        <w:pStyle w:val="ListParagraph"/>
        <w:numPr>
          <w:ilvl w:val="0"/>
          <w:numId w:val="44"/>
        </w:numPr>
        <w:spacing w:after="120" w:line="300" w:lineRule="exact"/>
        <w:rPr>
          <w:rFonts w:ascii="Arial" w:hAnsi="Arial" w:cs="Arial"/>
          <w:sz w:val="22"/>
          <w:szCs w:val="22"/>
        </w:rPr>
      </w:pPr>
      <w:r w:rsidRPr="000C0FF9">
        <w:rPr>
          <w:rFonts w:ascii="Arial" w:hAnsi="Arial" w:cs="Arial"/>
          <w:b/>
          <w:bCs/>
          <w:color w:val="1D2C49"/>
          <w:sz w:val="22"/>
          <w:szCs w:val="22"/>
        </w:rPr>
        <w:t>Market Positioning:</w:t>
      </w:r>
      <w:r w:rsidRPr="00D43143">
        <w:rPr>
          <w:rFonts w:ascii="Arial" w:hAnsi="Arial" w:cs="Arial"/>
          <w:sz w:val="22"/>
          <w:szCs w:val="22"/>
        </w:rPr>
        <w:t xml:space="preserve"> Determines where the organization stands in terms of pay relative to competitors (e.g., at the 50th percentile of the market).</w:t>
      </w:r>
    </w:p>
    <w:p w14:paraId="5AA4AF85" w14:textId="77777777" w:rsidR="00D43143" w:rsidRPr="00D43143" w:rsidRDefault="00D43143" w:rsidP="00D43143">
      <w:pPr>
        <w:pStyle w:val="ListParagraph"/>
        <w:numPr>
          <w:ilvl w:val="0"/>
          <w:numId w:val="44"/>
        </w:numPr>
        <w:spacing w:after="120" w:line="300" w:lineRule="exact"/>
        <w:rPr>
          <w:rFonts w:ascii="Arial" w:hAnsi="Arial" w:cs="Arial"/>
          <w:sz w:val="22"/>
          <w:szCs w:val="22"/>
        </w:rPr>
      </w:pPr>
      <w:r w:rsidRPr="000C0FF9">
        <w:rPr>
          <w:rFonts w:ascii="Arial" w:hAnsi="Arial" w:cs="Arial"/>
          <w:b/>
          <w:bCs/>
          <w:color w:val="1D2C49"/>
          <w:sz w:val="22"/>
          <w:szCs w:val="22"/>
        </w:rPr>
        <w:t>Internal Equity:</w:t>
      </w:r>
      <w:r w:rsidRPr="00D43143">
        <w:rPr>
          <w:rFonts w:ascii="Arial" w:hAnsi="Arial" w:cs="Arial"/>
          <w:sz w:val="22"/>
          <w:szCs w:val="22"/>
        </w:rPr>
        <w:t xml:space="preserve"> Ensures fair pay practices within the organization based on skills, experience, responsibilities, and other factors as allowed by law or policy.</w:t>
      </w:r>
    </w:p>
    <w:p w14:paraId="7AEE615F" w14:textId="77777777" w:rsidR="00D43143" w:rsidRPr="00D43143" w:rsidRDefault="00D43143" w:rsidP="00D43143">
      <w:pPr>
        <w:pStyle w:val="ListParagraph"/>
        <w:numPr>
          <w:ilvl w:val="0"/>
          <w:numId w:val="44"/>
        </w:numPr>
        <w:spacing w:after="120" w:line="300" w:lineRule="exact"/>
        <w:rPr>
          <w:rFonts w:ascii="Arial" w:hAnsi="Arial" w:cs="Arial"/>
          <w:sz w:val="22"/>
          <w:szCs w:val="22"/>
        </w:rPr>
      </w:pPr>
      <w:r w:rsidRPr="000C0FF9">
        <w:rPr>
          <w:rFonts w:ascii="Arial" w:hAnsi="Arial" w:cs="Arial"/>
          <w:b/>
          <w:bCs/>
          <w:color w:val="1D2C49"/>
          <w:sz w:val="22"/>
          <w:szCs w:val="22"/>
        </w:rPr>
        <w:t>Pay Structures:</w:t>
      </w:r>
      <w:r w:rsidRPr="00D43143">
        <w:rPr>
          <w:rFonts w:ascii="Arial" w:hAnsi="Arial" w:cs="Arial"/>
          <w:sz w:val="22"/>
          <w:szCs w:val="22"/>
        </w:rPr>
        <w:t xml:space="preserve"> Develops clear pay ranges for each position and outlines how pay increases are tied to performance, market changes, or promotions.</w:t>
      </w:r>
    </w:p>
    <w:p w14:paraId="261A7479" w14:textId="77777777" w:rsidR="00D43143" w:rsidRPr="00D43143" w:rsidRDefault="00D43143" w:rsidP="00D43143">
      <w:pPr>
        <w:pStyle w:val="ListParagraph"/>
        <w:numPr>
          <w:ilvl w:val="0"/>
          <w:numId w:val="44"/>
        </w:numPr>
        <w:spacing w:after="120" w:line="300" w:lineRule="exact"/>
        <w:rPr>
          <w:rFonts w:ascii="Arial" w:hAnsi="Arial" w:cs="Arial"/>
          <w:sz w:val="22"/>
          <w:szCs w:val="22"/>
        </w:rPr>
      </w:pPr>
      <w:r w:rsidRPr="000C0FF9">
        <w:rPr>
          <w:rFonts w:ascii="Arial" w:hAnsi="Arial" w:cs="Arial"/>
          <w:b/>
          <w:bCs/>
          <w:color w:val="1D2C49"/>
          <w:sz w:val="22"/>
          <w:szCs w:val="22"/>
        </w:rPr>
        <w:t>Variable Pay Plans:</w:t>
      </w:r>
      <w:r w:rsidRPr="00D43143">
        <w:rPr>
          <w:rFonts w:ascii="Arial" w:hAnsi="Arial" w:cs="Arial"/>
          <w:sz w:val="22"/>
          <w:szCs w:val="22"/>
        </w:rPr>
        <w:t xml:space="preserve"> Establishes short-term and long-term incentive plans to drive specific performance outcomes.</w:t>
      </w:r>
    </w:p>
    <w:p w14:paraId="5FF2FC47" w14:textId="77777777" w:rsidR="00D43143" w:rsidRPr="00014CE9" w:rsidRDefault="00D43143" w:rsidP="00D43143">
      <w:pPr>
        <w:pStyle w:val="ListParagraph"/>
        <w:numPr>
          <w:ilvl w:val="0"/>
          <w:numId w:val="44"/>
        </w:numPr>
        <w:spacing w:after="120" w:line="300" w:lineRule="exact"/>
        <w:rPr>
          <w:rFonts w:ascii="Arial" w:hAnsi="Arial" w:cs="Arial"/>
        </w:rPr>
      </w:pPr>
      <w:r w:rsidRPr="000C0FF9">
        <w:rPr>
          <w:rFonts w:ascii="Arial" w:hAnsi="Arial" w:cs="Arial"/>
          <w:b/>
          <w:bCs/>
          <w:color w:val="1D2C49"/>
          <w:sz w:val="22"/>
          <w:szCs w:val="22"/>
        </w:rPr>
        <w:t>Pay Communication:</w:t>
      </w:r>
      <w:r w:rsidRPr="00014CE9">
        <w:rPr>
          <w:rFonts w:ascii="Arial" w:hAnsi="Arial" w:cs="Arial"/>
        </w:rPr>
        <w:t xml:space="preserve"> Provides a structured approach to communicating compensation decisions to employees.</w:t>
      </w:r>
    </w:p>
    <w:p w14:paraId="654E41FB" w14:textId="77777777" w:rsidR="000C0FF9" w:rsidRDefault="000C0FF9" w:rsidP="00D43143">
      <w:pPr>
        <w:spacing w:line="240" w:lineRule="auto"/>
        <w:rPr>
          <w:rFonts w:cs="Arial"/>
          <w:b/>
          <w:bCs/>
          <w:color w:val="1D2C49"/>
          <w:sz w:val="36"/>
          <w:szCs w:val="36"/>
        </w:rPr>
      </w:pPr>
    </w:p>
    <w:p w14:paraId="07C52416" w14:textId="3BF29BC2" w:rsidR="00D43143" w:rsidRDefault="00D43143" w:rsidP="00D43143">
      <w:pPr>
        <w:spacing w:line="240" w:lineRule="auto"/>
        <w:rPr>
          <w:rFonts w:cs="Arial"/>
          <w:b/>
          <w:bCs/>
          <w:color w:val="1D2C49"/>
          <w:sz w:val="36"/>
          <w:szCs w:val="36"/>
        </w:rPr>
      </w:pPr>
      <w:r w:rsidRPr="00D43143">
        <w:rPr>
          <w:rFonts w:cs="Arial"/>
          <w:b/>
          <w:bCs/>
          <w:color w:val="1D2C49"/>
          <w:sz w:val="36"/>
          <w:szCs w:val="36"/>
        </w:rPr>
        <w:t>Importance of Having a Compensation Philosophy and Strategy</w:t>
      </w:r>
    </w:p>
    <w:p w14:paraId="52D463AB" w14:textId="77777777" w:rsidR="00D43143" w:rsidRPr="000C0FF9" w:rsidRDefault="00D43143" w:rsidP="00D43143">
      <w:pPr>
        <w:spacing w:line="240" w:lineRule="auto"/>
        <w:rPr>
          <w:rFonts w:cs="Arial"/>
          <w:b/>
          <w:bCs/>
          <w:color w:val="1D2C49"/>
        </w:rPr>
      </w:pPr>
    </w:p>
    <w:p w14:paraId="31060FDF" w14:textId="242BFAF8" w:rsidR="00D43143" w:rsidRPr="000C0FF9" w:rsidRDefault="00D43143" w:rsidP="00D43143">
      <w:pPr>
        <w:pStyle w:val="ListParagraph"/>
        <w:numPr>
          <w:ilvl w:val="0"/>
          <w:numId w:val="45"/>
        </w:numPr>
        <w:spacing w:after="120" w:line="300" w:lineRule="exact"/>
        <w:rPr>
          <w:rFonts w:ascii="Arial" w:hAnsi="Arial" w:cs="Arial"/>
          <w:sz w:val="22"/>
          <w:szCs w:val="22"/>
        </w:rPr>
      </w:pPr>
      <w:r w:rsidRPr="000C0FF9">
        <w:rPr>
          <w:rFonts w:ascii="Arial" w:hAnsi="Arial" w:cs="Arial"/>
          <w:b/>
          <w:bCs/>
          <w:color w:val="1D2C49"/>
          <w:sz w:val="22"/>
          <w:szCs w:val="22"/>
        </w:rPr>
        <w:t>Organizational Alignment:</w:t>
      </w:r>
      <w:r w:rsidRPr="000C0FF9">
        <w:rPr>
          <w:rFonts w:ascii="Arial" w:hAnsi="Arial" w:cs="Arial"/>
          <w:color w:val="1D2C49"/>
          <w:sz w:val="22"/>
          <w:szCs w:val="22"/>
        </w:rPr>
        <w:t xml:space="preserve"> </w:t>
      </w:r>
      <w:r w:rsidRPr="000C0FF9">
        <w:rPr>
          <w:rFonts w:ascii="Arial" w:hAnsi="Arial" w:cs="Arial"/>
          <w:sz w:val="22"/>
          <w:szCs w:val="22"/>
        </w:rPr>
        <w:t>A well-defined compensation philosophy and strategy should align with the organization</w:t>
      </w:r>
      <w:r w:rsidR="00B45FB6">
        <w:rPr>
          <w:rFonts w:ascii="Arial" w:hAnsi="Arial" w:cs="Arial"/>
          <w:sz w:val="22"/>
          <w:szCs w:val="22"/>
        </w:rPr>
        <w:t>’</w:t>
      </w:r>
      <w:r w:rsidRPr="000C0FF9">
        <w:rPr>
          <w:rFonts w:ascii="Arial" w:hAnsi="Arial" w:cs="Arial"/>
          <w:sz w:val="22"/>
          <w:szCs w:val="22"/>
        </w:rPr>
        <w:t>s overall goals and values, ensuring that compensation practices support the organization</w:t>
      </w:r>
      <w:r w:rsidR="00B45FB6">
        <w:rPr>
          <w:rFonts w:ascii="Arial" w:hAnsi="Arial" w:cs="Arial"/>
          <w:sz w:val="22"/>
          <w:szCs w:val="22"/>
        </w:rPr>
        <w:t>’</w:t>
      </w:r>
      <w:r w:rsidRPr="000C0FF9">
        <w:rPr>
          <w:rFonts w:ascii="Arial" w:hAnsi="Arial" w:cs="Arial"/>
          <w:sz w:val="22"/>
          <w:szCs w:val="22"/>
        </w:rPr>
        <w:t>s mission and objectives.</w:t>
      </w:r>
    </w:p>
    <w:p w14:paraId="509BBA79" w14:textId="77777777" w:rsidR="00D43143" w:rsidRPr="000C0FF9" w:rsidRDefault="00D43143" w:rsidP="00D43143">
      <w:pPr>
        <w:pStyle w:val="ListParagraph"/>
        <w:numPr>
          <w:ilvl w:val="0"/>
          <w:numId w:val="45"/>
        </w:numPr>
        <w:spacing w:after="120" w:line="300" w:lineRule="exact"/>
        <w:rPr>
          <w:rFonts w:ascii="Arial" w:hAnsi="Arial" w:cs="Arial"/>
          <w:sz w:val="22"/>
          <w:szCs w:val="22"/>
        </w:rPr>
      </w:pPr>
      <w:r w:rsidRPr="000C0FF9">
        <w:rPr>
          <w:rFonts w:ascii="Arial" w:hAnsi="Arial" w:cs="Arial"/>
          <w:b/>
          <w:bCs/>
          <w:color w:val="1D2C49"/>
          <w:sz w:val="22"/>
          <w:szCs w:val="22"/>
        </w:rPr>
        <w:t>Cultural Fit:</w:t>
      </w:r>
      <w:r w:rsidRPr="000C0FF9">
        <w:rPr>
          <w:rFonts w:ascii="Arial" w:hAnsi="Arial" w:cs="Arial"/>
          <w:sz w:val="22"/>
          <w:szCs w:val="22"/>
        </w:rPr>
        <w:t xml:space="preserve"> A positive and supportive organizational culture can be fostered through a compensation philosophy and strategy that recognizes and rewards employee contributions.</w:t>
      </w:r>
    </w:p>
    <w:p w14:paraId="014D9358" w14:textId="77777777" w:rsidR="00D43143" w:rsidRPr="000C0FF9" w:rsidRDefault="00D43143" w:rsidP="00D43143">
      <w:pPr>
        <w:pStyle w:val="ListParagraph"/>
        <w:numPr>
          <w:ilvl w:val="0"/>
          <w:numId w:val="45"/>
        </w:numPr>
        <w:spacing w:after="120" w:line="300" w:lineRule="exact"/>
        <w:rPr>
          <w:rFonts w:ascii="Arial" w:hAnsi="Arial" w:cs="Arial"/>
          <w:b/>
          <w:bCs/>
          <w:sz w:val="22"/>
          <w:szCs w:val="22"/>
        </w:rPr>
      </w:pPr>
      <w:r w:rsidRPr="000C0FF9">
        <w:rPr>
          <w:rFonts w:ascii="Arial" w:hAnsi="Arial" w:cs="Arial"/>
          <w:b/>
          <w:bCs/>
          <w:color w:val="1D2C49"/>
          <w:sz w:val="22"/>
          <w:szCs w:val="22"/>
        </w:rPr>
        <w:t>Employee Satisfaction:</w:t>
      </w:r>
      <w:r w:rsidRPr="000C0FF9">
        <w:rPr>
          <w:rFonts w:ascii="Arial" w:hAnsi="Arial" w:cs="Arial"/>
          <w:b/>
          <w:bCs/>
          <w:sz w:val="22"/>
          <w:szCs w:val="22"/>
        </w:rPr>
        <w:t xml:space="preserve"> </w:t>
      </w:r>
      <w:r w:rsidRPr="000C0FF9">
        <w:rPr>
          <w:rFonts w:ascii="Arial" w:hAnsi="Arial" w:cs="Arial"/>
          <w:sz w:val="22"/>
          <w:szCs w:val="22"/>
        </w:rPr>
        <w:t>By recognizing and rewarding employees for their contributions, a fair compensation philosophy and strategy can boost employee morale, satisfaction, and engagement.</w:t>
      </w:r>
    </w:p>
    <w:p w14:paraId="181A5337" w14:textId="77777777" w:rsidR="00D43143" w:rsidRPr="000C0FF9" w:rsidRDefault="00D43143" w:rsidP="00D43143">
      <w:pPr>
        <w:pStyle w:val="ListParagraph"/>
        <w:numPr>
          <w:ilvl w:val="0"/>
          <w:numId w:val="45"/>
        </w:numPr>
        <w:spacing w:after="120" w:line="300" w:lineRule="exact"/>
        <w:rPr>
          <w:rFonts w:ascii="Arial" w:hAnsi="Arial" w:cs="Arial"/>
          <w:b/>
          <w:bCs/>
          <w:sz w:val="22"/>
          <w:szCs w:val="22"/>
        </w:rPr>
      </w:pPr>
      <w:r w:rsidRPr="000C0FF9">
        <w:rPr>
          <w:rFonts w:ascii="Arial" w:hAnsi="Arial" w:cs="Arial"/>
          <w:b/>
          <w:bCs/>
          <w:color w:val="1D2C49"/>
          <w:sz w:val="22"/>
          <w:szCs w:val="22"/>
        </w:rPr>
        <w:t>Process Standardization:</w:t>
      </w:r>
      <w:r w:rsidRPr="000C0FF9">
        <w:rPr>
          <w:sz w:val="22"/>
          <w:szCs w:val="22"/>
        </w:rPr>
        <w:t xml:space="preserve"> </w:t>
      </w:r>
      <w:r w:rsidRPr="000C0FF9">
        <w:rPr>
          <w:rFonts w:ascii="Arial" w:hAnsi="Arial" w:cs="Arial"/>
          <w:sz w:val="22"/>
          <w:szCs w:val="22"/>
        </w:rPr>
        <w:t>By establishing clear processes and procedures for setting salaries, evaluating performance, and administering benefits, it ensures consistency in the application of compensation policies.</w:t>
      </w:r>
    </w:p>
    <w:p w14:paraId="44F719F5" w14:textId="77777777" w:rsidR="00D43143" w:rsidRPr="000C0FF9" w:rsidRDefault="00D43143" w:rsidP="00D43143">
      <w:pPr>
        <w:pStyle w:val="ListParagraph"/>
        <w:numPr>
          <w:ilvl w:val="0"/>
          <w:numId w:val="45"/>
        </w:numPr>
        <w:spacing w:after="120" w:line="300" w:lineRule="exact"/>
        <w:rPr>
          <w:rFonts w:ascii="Arial" w:hAnsi="Arial" w:cs="Arial"/>
          <w:sz w:val="22"/>
          <w:szCs w:val="22"/>
        </w:rPr>
      </w:pPr>
      <w:r w:rsidRPr="000C0FF9">
        <w:rPr>
          <w:rFonts w:ascii="Arial" w:hAnsi="Arial" w:cs="Arial"/>
          <w:b/>
          <w:bCs/>
          <w:color w:val="1D2C49"/>
          <w:sz w:val="22"/>
          <w:szCs w:val="22"/>
        </w:rPr>
        <w:t>Attraction &amp; Retention:</w:t>
      </w:r>
      <w:r w:rsidRPr="000C0FF9">
        <w:rPr>
          <w:rFonts w:ascii="Arial" w:hAnsi="Arial" w:cs="Arial"/>
          <w:sz w:val="22"/>
          <w:szCs w:val="22"/>
        </w:rPr>
        <w:t xml:space="preserve"> Well-defined compensation practices help recruit top talent and retain key employees by offering competitive total reward packages that align with market standards.</w:t>
      </w:r>
    </w:p>
    <w:p w14:paraId="56AB9B17" w14:textId="77777777" w:rsidR="00D43143" w:rsidRPr="000C0FF9" w:rsidRDefault="00D43143" w:rsidP="00D43143">
      <w:pPr>
        <w:pStyle w:val="ListParagraph"/>
        <w:numPr>
          <w:ilvl w:val="0"/>
          <w:numId w:val="45"/>
        </w:numPr>
        <w:spacing w:after="120" w:line="300" w:lineRule="exact"/>
        <w:rPr>
          <w:rFonts w:ascii="Arial" w:hAnsi="Arial" w:cs="Arial"/>
          <w:sz w:val="22"/>
          <w:szCs w:val="22"/>
        </w:rPr>
      </w:pPr>
      <w:r w:rsidRPr="000C0FF9">
        <w:rPr>
          <w:rFonts w:ascii="Arial" w:hAnsi="Arial" w:cs="Arial"/>
          <w:b/>
          <w:bCs/>
          <w:color w:val="1D2C49"/>
          <w:sz w:val="22"/>
          <w:szCs w:val="22"/>
        </w:rPr>
        <w:t>Performance Motivation:</w:t>
      </w:r>
      <w:r w:rsidRPr="000C0FF9">
        <w:rPr>
          <w:rFonts w:ascii="Arial" w:hAnsi="Arial" w:cs="Arial"/>
          <w:sz w:val="22"/>
          <w:szCs w:val="22"/>
        </w:rPr>
        <w:t xml:space="preserve"> By linking pay to performance, a compensation strategy can drive higher employee engagement, productivity, and overall organizational success.</w:t>
      </w:r>
    </w:p>
    <w:p w14:paraId="1069A3AA" w14:textId="77777777" w:rsidR="00D43143" w:rsidRPr="000C0FF9" w:rsidRDefault="00D43143" w:rsidP="00D43143">
      <w:pPr>
        <w:pStyle w:val="ListParagraph"/>
        <w:numPr>
          <w:ilvl w:val="0"/>
          <w:numId w:val="45"/>
        </w:numPr>
        <w:spacing w:after="120" w:line="300" w:lineRule="exact"/>
        <w:rPr>
          <w:rFonts w:ascii="Arial" w:hAnsi="Arial" w:cs="Arial"/>
          <w:sz w:val="22"/>
          <w:szCs w:val="22"/>
        </w:rPr>
      </w:pPr>
      <w:r w:rsidRPr="000C0FF9">
        <w:rPr>
          <w:rFonts w:ascii="Arial" w:hAnsi="Arial" w:cs="Arial"/>
          <w:b/>
          <w:bCs/>
          <w:color w:val="1D2C49"/>
          <w:sz w:val="22"/>
          <w:szCs w:val="22"/>
        </w:rPr>
        <w:t>Internal Consistency:</w:t>
      </w:r>
      <w:r w:rsidRPr="000C0FF9">
        <w:rPr>
          <w:rFonts w:ascii="Arial" w:hAnsi="Arial" w:cs="Arial"/>
          <w:sz w:val="22"/>
          <w:szCs w:val="22"/>
        </w:rPr>
        <w:t xml:space="preserve"> A uniform approach to compensation ensures that all employees are treated equitably based on clear criteria.</w:t>
      </w:r>
    </w:p>
    <w:p w14:paraId="3FB87039" w14:textId="77777777" w:rsidR="00D43143" w:rsidRPr="000C0FF9" w:rsidRDefault="00D43143" w:rsidP="00D43143">
      <w:pPr>
        <w:pStyle w:val="ListParagraph"/>
        <w:numPr>
          <w:ilvl w:val="0"/>
          <w:numId w:val="45"/>
        </w:numPr>
        <w:spacing w:after="120" w:line="300" w:lineRule="exact"/>
        <w:rPr>
          <w:rFonts w:ascii="Arial" w:hAnsi="Arial" w:cs="Arial"/>
          <w:sz w:val="22"/>
          <w:szCs w:val="22"/>
        </w:rPr>
      </w:pPr>
      <w:r w:rsidRPr="000C0FF9">
        <w:rPr>
          <w:rFonts w:ascii="Arial" w:hAnsi="Arial" w:cs="Arial"/>
          <w:b/>
          <w:bCs/>
          <w:color w:val="1D2C49"/>
          <w:sz w:val="22"/>
          <w:szCs w:val="22"/>
        </w:rPr>
        <w:t>Legal Compliance:</w:t>
      </w:r>
      <w:r w:rsidRPr="000C0FF9">
        <w:rPr>
          <w:rFonts w:ascii="Arial" w:hAnsi="Arial" w:cs="Arial"/>
          <w:sz w:val="22"/>
          <w:szCs w:val="22"/>
        </w:rPr>
        <w:t xml:space="preserve"> Adhering to legal standards and ensuring equal pay for comparable work reduces the risk of pay-related disputes and helps to maintain a positive organizational reputation.</w:t>
      </w:r>
    </w:p>
    <w:p w14:paraId="21B60EC7" w14:textId="77777777" w:rsidR="00D43143" w:rsidRDefault="00D43143" w:rsidP="00D43143">
      <w:pPr>
        <w:rPr>
          <w:rFonts w:cs="Arial"/>
          <w:b/>
          <w:bCs/>
          <w:color w:val="2F5496" w:themeColor="accent1" w:themeShade="BF"/>
          <w:sz w:val="40"/>
          <w:szCs w:val="40"/>
        </w:rPr>
      </w:pPr>
    </w:p>
    <w:p w14:paraId="6061BA7D" w14:textId="77777777" w:rsidR="00D43143" w:rsidRDefault="00D43143" w:rsidP="00D43143">
      <w:pPr>
        <w:rPr>
          <w:rFonts w:cs="Arial"/>
          <w:b/>
          <w:bCs/>
          <w:color w:val="2F5496" w:themeColor="accent1" w:themeShade="BF"/>
          <w:sz w:val="40"/>
          <w:szCs w:val="40"/>
        </w:rPr>
      </w:pPr>
    </w:p>
    <w:p w14:paraId="203C3138" w14:textId="77777777" w:rsidR="00D43143" w:rsidRDefault="00D43143" w:rsidP="00D43143">
      <w:pPr>
        <w:rPr>
          <w:rFonts w:cs="Arial"/>
          <w:b/>
          <w:bCs/>
          <w:color w:val="2F5496" w:themeColor="accent1" w:themeShade="BF"/>
          <w:sz w:val="40"/>
          <w:szCs w:val="40"/>
        </w:rPr>
      </w:pPr>
    </w:p>
    <w:p w14:paraId="4038E2B9" w14:textId="77777777" w:rsidR="00D43143" w:rsidRDefault="00D43143" w:rsidP="00D43143">
      <w:pPr>
        <w:rPr>
          <w:rFonts w:cs="Arial"/>
          <w:b/>
          <w:bCs/>
          <w:color w:val="2F5496" w:themeColor="accent1" w:themeShade="BF"/>
          <w:sz w:val="40"/>
          <w:szCs w:val="40"/>
        </w:rPr>
      </w:pPr>
    </w:p>
    <w:p w14:paraId="2745CDBD" w14:textId="77777777" w:rsidR="000C0FF9" w:rsidRDefault="000C0FF9">
      <w:pPr>
        <w:rPr>
          <w:rFonts w:cs="Arial"/>
          <w:b/>
          <w:bCs/>
          <w:color w:val="1D2C49"/>
          <w:sz w:val="36"/>
          <w:szCs w:val="36"/>
        </w:rPr>
      </w:pPr>
      <w:r>
        <w:rPr>
          <w:rFonts w:cs="Arial"/>
          <w:b/>
          <w:bCs/>
          <w:color w:val="1D2C49"/>
          <w:sz w:val="36"/>
          <w:szCs w:val="36"/>
        </w:rPr>
        <w:br w:type="page"/>
      </w:r>
    </w:p>
    <w:p w14:paraId="615EA195" w14:textId="69C43583" w:rsidR="00D43143" w:rsidRDefault="00D43143" w:rsidP="00D43143">
      <w:pPr>
        <w:spacing w:line="240" w:lineRule="auto"/>
        <w:rPr>
          <w:rFonts w:cs="Arial"/>
          <w:b/>
          <w:bCs/>
          <w:color w:val="1D2C49"/>
          <w:sz w:val="36"/>
          <w:szCs w:val="36"/>
        </w:rPr>
      </w:pPr>
      <w:r w:rsidRPr="00D43143">
        <w:rPr>
          <w:rFonts w:cs="Arial"/>
          <w:b/>
          <w:bCs/>
          <w:color w:val="1D2C49"/>
          <w:sz w:val="36"/>
          <w:szCs w:val="36"/>
        </w:rPr>
        <w:lastRenderedPageBreak/>
        <w:t>Compensation Philosophy – Overview Example</w:t>
      </w:r>
    </w:p>
    <w:p w14:paraId="1FE15D39" w14:textId="77777777" w:rsidR="00D43143" w:rsidRPr="00D43143" w:rsidRDefault="00D43143" w:rsidP="00D43143">
      <w:pPr>
        <w:spacing w:line="240" w:lineRule="auto"/>
        <w:rPr>
          <w:rFonts w:cs="Arial"/>
          <w:b/>
          <w:bCs/>
          <w:color w:val="1D2C49"/>
          <w:sz w:val="36"/>
          <w:szCs w:val="36"/>
        </w:rPr>
      </w:pPr>
    </w:p>
    <w:p w14:paraId="0669AAD2" w14:textId="4BECC9AC" w:rsidR="00D43143" w:rsidRDefault="00D43143" w:rsidP="00D43143">
      <w:pPr>
        <w:rPr>
          <w:rFonts w:cs="Arial"/>
        </w:rPr>
      </w:pPr>
      <w:r w:rsidRPr="005157C7">
        <w:rPr>
          <w:rFonts w:cs="Arial"/>
        </w:rPr>
        <w:t xml:space="preserve">Our compensation philosophy is centered on fairness, equity, and performance. We strive to maintain a competitive pay structure that rewards employees based on their contributions and aligns with industry standards. By benchmarking salaries against the local market, we ensure our compensation remains competitive. To incentivize high performance, we offer a combination of base pay and variable pay, including bonuses linked to specific goals. Our commitment to fairness extends to ensuring consistent pay for similar roles and performance levels, while transparency in our compensation practices fosters trust and understanding among our employees. This approach is aligned with our </w:t>
      </w:r>
      <w:r>
        <w:rPr>
          <w:rFonts w:cs="Arial"/>
        </w:rPr>
        <w:t>organization</w:t>
      </w:r>
      <w:r w:rsidR="00B45FB6">
        <w:rPr>
          <w:rFonts w:cs="Arial"/>
        </w:rPr>
        <w:t>’</w:t>
      </w:r>
      <w:r w:rsidRPr="005157C7">
        <w:rPr>
          <w:rFonts w:cs="Arial"/>
        </w:rPr>
        <w:t>s values and strategic goals, supporting our mission and growth.</w:t>
      </w:r>
    </w:p>
    <w:p w14:paraId="21682B2A" w14:textId="77777777" w:rsidR="00D43143" w:rsidRDefault="00D43143" w:rsidP="00D43143">
      <w:pPr>
        <w:spacing w:line="240" w:lineRule="auto"/>
        <w:rPr>
          <w:rFonts w:cs="Arial"/>
          <w:b/>
          <w:bCs/>
          <w:color w:val="1D2C49"/>
          <w:sz w:val="36"/>
          <w:szCs w:val="36"/>
        </w:rPr>
      </w:pPr>
    </w:p>
    <w:p w14:paraId="1ECAFE07" w14:textId="6FA17DE8" w:rsidR="00D43143" w:rsidRDefault="00D43143" w:rsidP="00D43143">
      <w:pPr>
        <w:spacing w:line="240" w:lineRule="auto"/>
        <w:rPr>
          <w:rFonts w:cs="Arial"/>
          <w:b/>
          <w:bCs/>
          <w:color w:val="1D2C49"/>
          <w:sz w:val="36"/>
          <w:szCs w:val="36"/>
        </w:rPr>
      </w:pPr>
      <w:r w:rsidRPr="00D43143">
        <w:rPr>
          <w:rFonts w:cs="Arial"/>
          <w:b/>
          <w:bCs/>
          <w:color w:val="1D2C49"/>
          <w:sz w:val="36"/>
          <w:szCs w:val="36"/>
        </w:rPr>
        <w:t>Compensation Strategy – Overview Example</w:t>
      </w:r>
    </w:p>
    <w:p w14:paraId="678E913E" w14:textId="77777777" w:rsidR="00D43143" w:rsidRPr="00D43143" w:rsidRDefault="00D43143" w:rsidP="00D43143">
      <w:pPr>
        <w:spacing w:line="240" w:lineRule="auto"/>
        <w:rPr>
          <w:rFonts w:cs="Arial"/>
          <w:b/>
          <w:bCs/>
          <w:color w:val="1D2C49"/>
          <w:sz w:val="36"/>
          <w:szCs w:val="36"/>
        </w:rPr>
      </w:pPr>
    </w:p>
    <w:p w14:paraId="6C800DCF" w14:textId="77777777" w:rsidR="00D43143" w:rsidRPr="005157C7" w:rsidRDefault="00D43143" w:rsidP="00D43143">
      <w:pPr>
        <w:rPr>
          <w:rFonts w:cs="Arial"/>
        </w:rPr>
      </w:pPr>
      <w:r w:rsidRPr="005157C7">
        <w:rPr>
          <w:rFonts w:cs="Arial"/>
        </w:rPr>
        <w:t>Our compensation strategy is designed to attract, retain, and motivate top talent by offering competitive pay and benefits. We target base salaries at the 50th percentile of the market and conduct annual benchmarking to ensure our pay scales remain competitive. We have clear salary ranges for each job level and conduct yearly performance reviews to determine merit increases and promotions. To incentivize high performance, we offer bonuses up to 20% of base salary and include profit-sharing. Our comprehensive benefits package includes health insurance, retirement plans, paid time off, and additional perks like flexible work options and development opportunities. We prioritize transparency by openly communicating our salary ranges and decision criteria. Our compensation policies are reviewed and adjusted annually to align with employee feedback, business objectives, and market trends.</w:t>
      </w:r>
    </w:p>
    <w:p w14:paraId="7B31FC9F" w14:textId="77777777" w:rsidR="00D43143" w:rsidRDefault="00D43143" w:rsidP="00D43143">
      <w:pPr>
        <w:spacing w:line="240" w:lineRule="auto"/>
        <w:rPr>
          <w:rFonts w:cs="Arial"/>
          <w:b/>
          <w:bCs/>
          <w:color w:val="1D2C49"/>
          <w:sz w:val="36"/>
          <w:szCs w:val="36"/>
        </w:rPr>
      </w:pPr>
    </w:p>
    <w:p w14:paraId="079EB20B" w14:textId="344CA3BB" w:rsidR="00D43143" w:rsidRDefault="00D43143" w:rsidP="00D43143">
      <w:pPr>
        <w:spacing w:line="240" w:lineRule="auto"/>
        <w:rPr>
          <w:rFonts w:cs="Arial"/>
          <w:b/>
          <w:bCs/>
          <w:color w:val="1D2C49"/>
          <w:sz w:val="36"/>
          <w:szCs w:val="36"/>
        </w:rPr>
      </w:pPr>
      <w:r w:rsidRPr="00D43143">
        <w:rPr>
          <w:rFonts w:cs="Arial"/>
          <w:b/>
          <w:bCs/>
          <w:color w:val="1D2C49"/>
          <w:sz w:val="36"/>
          <w:szCs w:val="36"/>
        </w:rPr>
        <w:t>Conclusion</w:t>
      </w:r>
    </w:p>
    <w:p w14:paraId="7C2F9ACC" w14:textId="77777777" w:rsidR="00D43143" w:rsidRPr="00D43143" w:rsidRDefault="00D43143" w:rsidP="00D43143">
      <w:pPr>
        <w:spacing w:line="240" w:lineRule="auto"/>
        <w:rPr>
          <w:rFonts w:cs="Arial"/>
          <w:b/>
          <w:bCs/>
          <w:color w:val="1D2C49"/>
          <w:sz w:val="36"/>
          <w:szCs w:val="36"/>
        </w:rPr>
      </w:pPr>
    </w:p>
    <w:p w14:paraId="6E20FC93" w14:textId="77777777" w:rsidR="00D43143" w:rsidRPr="00A26651" w:rsidRDefault="00D43143" w:rsidP="00D43143">
      <w:pPr>
        <w:rPr>
          <w:rFonts w:cs="Arial"/>
        </w:rPr>
      </w:pPr>
      <w:r w:rsidRPr="00DE75C8">
        <w:rPr>
          <w:rFonts w:cs="Arial"/>
        </w:rPr>
        <w:t>Establishing and maintaining a compensation philosophy and strategy is essential for aligning pay practices with business goals, attracting top talent, and ensuring fair and transparent pay practices. A well-defined compensation strategy promotes trust and engagement among employees, while regular evaluation ensures the strategy remains competitive and effective.</w:t>
      </w:r>
      <w:r>
        <w:rPr>
          <w:rFonts w:cs="Arial"/>
        </w:rPr>
        <w:t xml:space="preserve"> Reach out to our </w:t>
      </w:r>
      <w:hyperlink r:id="rId8" w:history="1">
        <w:r w:rsidRPr="00060CE1">
          <w:rPr>
            <w:rStyle w:val="Hyperlink"/>
            <w:rFonts w:cs="Arial"/>
          </w:rPr>
          <w:t>compensation team</w:t>
        </w:r>
      </w:hyperlink>
      <w:r>
        <w:rPr>
          <w:rFonts w:cs="Arial"/>
        </w:rPr>
        <w:t xml:space="preserve"> today for expert consulting support in developing or refining yours.</w:t>
      </w:r>
    </w:p>
    <w:p w14:paraId="01B1C1FB" w14:textId="77777777" w:rsidR="00D43143" w:rsidRDefault="00D43143" w:rsidP="006E6094">
      <w:pPr>
        <w:rPr>
          <w:rFonts w:cs="Arial"/>
        </w:rPr>
      </w:pPr>
    </w:p>
    <w:p w14:paraId="022CEBA7" w14:textId="77777777" w:rsidR="00D43143" w:rsidRDefault="00D43143" w:rsidP="006E6094">
      <w:pPr>
        <w:rPr>
          <w:rFonts w:cs="Arial"/>
        </w:rPr>
      </w:pPr>
    </w:p>
    <w:p w14:paraId="4462FAE9" w14:textId="77777777" w:rsidR="00D43143" w:rsidRDefault="00D43143" w:rsidP="006E6094">
      <w:pPr>
        <w:rPr>
          <w:rFonts w:cs="Arial"/>
        </w:rPr>
      </w:pPr>
    </w:p>
    <w:p w14:paraId="5C3BCBD5" w14:textId="77777777" w:rsidR="00D43143" w:rsidRDefault="00D43143" w:rsidP="006E6094">
      <w:pPr>
        <w:rPr>
          <w:rFonts w:cs="Arial"/>
        </w:rPr>
      </w:pPr>
    </w:p>
    <w:p w14:paraId="23CFD0DF" w14:textId="77777777" w:rsidR="00D43143" w:rsidRDefault="00D43143" w:rsidP="006E6094">
      <w:pPr>
        <w:rPr>
          <w:rFonts w:cs="Arial"/>
        </w:rPr>
      </w:pPr>
    </w:p>
    <w:sectPr w:rsidR="00D43143" w:rsidSect="001B584B">
      <w:footerReference w:type="default" r:id="rId9"/>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9410C" w14:textId="77777777" w:rsidR="0022171D" w:rsidRDefault="0022171D" w:rsidP="00E31BE3">
      <w:pPr>
        <w:spacing w:line="240" w:lineRule="auto"/>
      </w:pPr>
      <w:r>
        <w:separator/>
      </w:r>
    </w:p>
  </w:endnote>
  <w:endnote w:type="continuationSeparator" w:id="0">
    <w:p w14:paraId="4EB255F0" w14:textId="77777777" w:rsidR="0022171D" w:rsidRDefault="0022171D"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A7BD" w14:textId="4E5B28E4"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00D43143">
      <w:rPr>
        <w:b/>
        <w:bCs/>
        <w:color w:val="1D2C4C"/>
      </w:rPr>
      <w:t>compensation</w:t>
    </w:r>
    <w:r w:rsidRPr="00E31BE3">
      <w:rPr>
        <w:b/>
        <w:bCs/>
        <w:color w:val="1D2C4C"/>
      </w:rPr>
      <w:t>@cascadeemployers.com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9B46B" w14:textId="77777777" w:rsidR="0022171D" w:rsidRDefault="0022171D" w:rsidP="00E31BE3">
      <w:pPr>
        <w:spacing w:line="240" w:lineRule="auto"/>
      </w:pPr>
      <w:r>
        <w:separator/>
      </w:r>
    </w:p>
  </w:footnote>
  <w:footnote w:type="continuationSeparator" w:id="0">
    <w:p w14:paraId="23314EE7" w14:textId="77777777" w:rsidR="0022171D" w:rsidRDefault="0022171D"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3"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5" w15:restartNumberingAfterBreak="0">
    <w:nsid w:val="12F73C6E"/>
    <w:multiLevelType w:val="hybridMultilevel"/>
    <w:tmpl w:val="F2E248CA"/>
    <w:lvl w:ilvl="0" w:tplc="F698B9B6">
      <w:start w:val="1"/>
      <w:numFmt w:val="bullet"/>
      <w:lvlText w:val="o"/>
      <w:lvlJc w:val="left"/>
      <w:pPr>
        <w:tabs>
          <w:tab w:val="num" w:pos="1440"/>
        </w:tabs>
        <w:ind w:left="144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1EDA36CD"/>
    <w:multiLevelType w:val="multilevel"/>
    <w:tmpl w:val="4F4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510E89"/>
    <w:multiLevelType w:val="hybridMultilevel"/>
    <w:tmpl w:val="16FC058A"/>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7226AB7"/>
    <w:multiLevelType w:val="hybridMultilevel"/>
    <w:tmpl w:val="8B6E9628"/>
    <w:lvl w:ilvl="0" w:tplc="880CB9A4">
      <w:start w:val="1"/>
      <w:numFmt w:val="decimal"/>
      <w:lvlText w:val="%1."/>
      <w:lvlJc w:val="left"/>
      <w:pPr>
        <w:ind w:left="360" w:hanging="360"/>
      </w:pPr>
      <w:rPr>
        <w:rFonts w:hint="default"/>
        <w:color w:val="1D2C4C"/>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14" w15:restartNumberingAfterBreak="0">
    <w:nsid w:val="31E7393B"/>
    <w:multiLevelType w:val="hybridMultilevel"/>
    <w:tmpl w:val="A4E806A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5E55548"/>
    <w:multiLevelType w:val="hybridMultilevel"/>
    <w:tmpl w:val="1FE4DA38"/>
    <w:lvl w:ilvl="0" w:tplc="BD4A69E0">
      <w:numFmt w:val="bullet"/>
      <w:lvlText w:val=""/>
      <w:lvlJc w:val="left"/>
      <w:pPr>
        <w:ind w:left="360" w:hanging="360"/>
      </w:pPr>
      <w:rPr>
        <w:rFonts w:ascii="Wingdings" w:hAnsi="Wingdings" w:cs="Wingdings" w:hint="default"/>
        <w:color w:val="1D2C4C"/>
        <w:w w:val="99"/>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8D807F7"/>
    <w:multiLevelType w:val="hybridMultilevel"/>
    <w:tmpl w:val="791CC532"/>
    <w:lvl w:ilvl="0" w:tplc="3A762EE6">
      <w:start w:val="1"/>
      <w:numFmt w:val="decimal"/>
      <w:lvlText w:val="%1."/>
      <w:lvlJc w:val="left"/>
      <w:pPr>
        <w:ind w:left="360" w:hanging="360"/>
      </w:pPr>
      <w:rPr>
        <w:rFonts w:hint="default"/>
        <w:color w:val="1D2C4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18"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548F0"/>
    <w:multiLevelType w:val="hybridMultilevel"/>
    <w:tmpl w:val="A6A81996"/>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D367D48"/>
    <w:multiLevelType w:val="multilevel"/>
    <w:tmpl w:val="AFBC5166"/>
    <w:lvl w:ilvl="0">
      <w:start w:val="1"/>
      <w:numFmt w:val="bullet"/>
      <w:lvlText w:val="■"/>
      <w:lvlJc w:val="left"/>
      <w:pPr>
        <w:tabs>
          <w:tab w:val="num" w:pos="720"/>
        </w:tabs>
        <w:ind w:left="720" w:hanging="360"/>
      </w:pPr>
      <w:rPr>
        <w:rFonts w:ascii="Garamond" w:hAnsi="Garamond"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8558E4"/>
    <w:multiLevelType w:val="hybridMultilevel"/>
    <w:tmpl w:val="C7F2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A369F0"/>
    <w:multiLevelType w:val="hybridMultilevel"/>
    <w:tmpl w:val="03A4FBC0"/>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0610788"/>
    <w:multiLevelType w:val="hybridMultilevel"/>
    <w:tmpl w:val="ADB0BDA4"/>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1092A"/>
    <w:multiLevelType w:val="hybridMultilevel"/>
    <w:tmpl w:val="7310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71E30"/>
    <w:multiLevelType w:val="hybridMultilevel"/>
    <w:tmpl w:val="8B1C4F18"/>
    <w:lvl w:ilvl="0" w:tplc="9F2CE3D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986F75"/>
    <w:multiLevelType w:val="hybridMultilevel"/>
    <w:tmpl w:val="656C5F98"/>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42372"/>
    <w:multiLevelType w:val="multilevel"/>
    <w:tmpl w:val="27B6CCBE"/>
    <w:lvl w:ilvl="0">
      <w:numFmt w:val="bullet"/>
      <w:lvlText w:val=""/>
      <w:lvlJc w:val="left"/>
      <w:pPr>
        <w:tabs>
          <w:tab w:val="num" w:pos="360"/>
        </w:tabs>
        <w:ind w:left="360" w:hanging="360"/>
      </w:pPr>
      <w:rPr>
        <w:rFonts w:ascii="Wingdings" w:hAnsi="Wingdings" w:cs="Wingdings" w:hint="default"/>
        <w:color w:val="1D2C4C"/>
        <w:w w:val="99"/>
        <w:sz w:val="22"/>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279328E"/>
    <w:multiLevelType w:val="hybridMultilevel"/>
    <w:tmpl w:val="4424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D4813"/>
    <w:multiLevelType w:val="hybridMultilevel"/>
    <w:tmpl w:val="ABAC8A9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2" w15:restartNumberingAfterBreak="0">
    <w:nsid w:val="5C561A17"/>
    <w:multiLevelType w:val="hybridMultilevel"/>
    <w:tmpl w:val="CC568A70"/>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CB54FF4"/>
    <w:multiLevelType w:val="hybridMultilevel"/>
    <w:tmpl w:val="FFA292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4"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5"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6" w15:restartNumberingAfterBreak="0">
    <w:nsid w:val="617D3BDC"/>
    <w:multiLevelType w:val="hybridMultilevel"/>
    <w:tmpl w:val="50A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92602"/>
    <w:multiLevelType w:val="hybridMultilevel"/>
    <w:tmpl w:val="AF6AE2EE"/>
    <w:lvl w:ilvl="0" w:tplc="880CB9A4">
      <w:start w:val="1"/>
      <w:numFmt w:val="decimal"/>
      <w:lvlText w:val="%1."/>
      <w:lvlJc w:val="left"/>
      <w:pPr>
        <w:ind w:left="360" w:hanging="360"/>
      </w:pPr>
      <w:rPr>
        <w:rFonts w:hint="default"/>
        <w:color w:val="1D2C4C"/>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39" w15:restartNumberingAfterBreak="0">
    <w:nsid w:val="71256857"/>
    <w:multiLevelType w:val="hybridMultilevel"/>
    <w:tmpl w:val="26BA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1"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3" w15:restartNumberingAfterBreak="0">
    <w:nsid w:val="7F1F0A4B"/>
    <w:multiLevelType w:val="hybridMultilevel"/>
    <w:tmpl w:val="168A1380"/>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52358"/>
    <w:multiLevelType w:val="hybridMultilevel"/>
    <w:tmpl w:val="8EC8F0DA"/>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14506">
    <w:abstractNumId w:val="1"/>
  </w:num>
  <w:num w:numId="2" w16cid:durableId="1770926513">
    <w:abstractNumId w:val="3"/>
  </w:num>
  <w:num w:numId="3" w16cid:durableId="1042365530">
    <w:abstractNumId w:val="41"/>
  </w:num>
  <w:num w:numId="4" w16cid:durableId="1528056552">
    <w:abstractNumId w:val="34"/>
  </w:num>
  <w:num w:numId="5" w16cid:durableId="1429229683">
    <w:abstractNumId w:val="26"/>
  </w:num>
  <w:num w:numId="6" w16cid:durableId="1887138140">
    <w:abstractNumId w:val="42"/>
  </w:num>
  <w:num w:numId="7" w16cid:durableId="1733769215">
    <w:abstractNumId w:val="6"/>
  </w:num>
  <w:num w:numId="8" w16cid:durableId="1272200012">
    <w:abstractNumId w:val="35"/>
  </w:num>
  <w:num w:numId="9" w16cid:durableId="1263100332">
    <w:abstractNumId w:val="31"/>
  </w:num>
  <w:num w:numId="10" w16cid:durableId="196088572">
    <w:abstractNumId w:val="7"/>
  </w:num>
  <w:num w:numId="11" w16cid:durableId="400449110">
    <w:abstractNumId w:val="13"/>
  </w:num>
  <w:num w:numId="12" w16cid:durableId="631710014">
    <w:abstractNumId w:val="40"/>
  </w:num>
  <w:num w:numId="13" w16cid:durableId="50858914">
    <w:abstractNumId w:val="0"/>
  </w:num>
  <w:num w:numId="14" w16cid:durableId="1682658803">
    <w:abstractNumId w:val="9"/>
  </w:num>
  <w:num w:numId="15" w16cid:durableId="1587953965">
    <w:abstractNumId w:val="18"/>
  </w:num>
  <w:num w:numId="16" w16cid:durableId="1804033525">
    <w:abstractNumId w:val="12"/>
  </w:num>
  <w:num w:numId="17" w16cid:durableId="125662122">
    <w:abstractNumId w:val="2"/>
  </w:num>
  <w:num w:numId="18" w16cid:durableId="1726757916">
    <w:abstractNumId w:val="38"/>
  </w:num>
  <w:num w:numId="19" w16cid:durableId="655378738">
    <w:abstractNumId w:val="4"/>
  </w:num>
  <w:num w:numId="20" w16cid:durableId="1096753220">
    <w:abstractNumId w:val="17"/>
  </w:num>
  <w:num w:numId="21" w16cid:durableId="383799340">
    <w:abstractNumId w:val="16"/>
  </w:num>
  <w:num w:numId="22" w16cid:durableId="1941063953">
    <w:abstractNumId w:val="27"/>
  </w:num>
  <w:num w:numId="23" w16cid:durableId="714430564">
    <w:abstractNumId w:val="43"/>
  </w:num>
  <w:num w:numId="24" w16cid:durableId="372971200">
    <w:abstractNumId w:val="25"/>
  </w:num>
  <w:num w:numId="25" w16cid:durableId="198402408">
    <w:abstractNumId w:val="44"/>
  </w:num>
  <w:num w:numId="26" w16cid:durableId="1341004156">
    <w:abstractNumId w:val="14"/>
  </w:num>
  <w:num w:numId="27" w16cid:durableId="1286621555">
    <w:abstractNumId w:val="30"/>
  </w:num>
  <w:num w:numId="28" w16cid:durableId="977151429">
    <w:abstractNumId w:val="23"/>
  </w:num>
  <w:num w:numId="29" w16cid:durableId="1492019498">
    <w:abstractNumId w:val="29"/>
  </w:num>
  <w:num w:numId="30" w16cid:durableId="1656644715">
    <w:abstractNumId w:val="36"/>
  </w:num>
  <w:num w:numId="31" w16cid:durableId="1869677478">
    <w:abstractNumId w:val="33"/>
  </w:num>
  <w:num w:numId="32" w16cid:durableId="226916961">
    <w:abstractNumId w:val="5"/>
  </w:num>
  <w:num w:numId="33" w16cid:durableId="1680696090">
    <w:abstractNumId w:val="37"/>
  </w:num>
  <w:num w:numId="34" w16cid:durableId="826869435">
    <w:abstractNumId w:val="11"/>
  </w:num>
  <w:num w:numId="35" w16cid:durableId="35590388">
    <w:abstractNumId w:val="15"/>
  </w:num>
  <w:num w:numId="36" w16cid:durableId="1340811527">
    <w:abstractNumId w:val="8"/>
  </w:num>
  <w:num w:numId="37" w16cid:durableId="239023075">
    <w:abstractNumId w:val="21"/>
  </w:num>
  <w:num w:numId="38" w16cid:durableId="2124302883">
    <w:abstractNumId w:val="39"/>
  </w:num>
  <w:num w:numId="39" w16cid:durableId="437527869">
    <w:abstractNumId w:val="24"/>
  </w:num>
  <w:num w:numId="40" w16cid:durableId="414790994">
    <w:abstractNumId w:val="20"/>
  </w:num>
  <w:num w:numId="41" w16cid:durableId="1130783113">
    <w:abstractNumId w:val="10"/>
  </w:num>
  <w:num w:numId="42" w16cid:durableId="1980451499">
    <w:abstractNumId w:val="19"/>
  </w:num>
  <w:num w:numId="43" w16cid:durableId="13895119">
    <w:abstractNumId w:val="28"/>
  </w:num>
  <w:num w:numId="44" w16cid:durableId="655115340">
    <w:abstractNumId w:val="32"/>
  </w:num>
  <w:num w:numId="45" w16cid:durableId="19084924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58D7"/>
    <w:rsid w:val="000660A6"/>
    <w:rsid w:val="000662A1"/>
    <w:rsid w:val="000C0FF9"/>
    <w:rsid w:val="000F5FE7"/>
    <w:rsid w:val="00100D71"/>
    <w:rsid w:val="00183952"/>
    <w:rsid w:val="0018511A"/>
    <w:rsid w:val="00191125"/>
    <w:rsid w:val="001922C5"/>
    <w:rsid w:val="001B584B"/>
    <w:rsid w:val="001E334E"/>
    <w:rsid w:val="001E583C"/>
    <w:rsid w:val="002055CD"/>
    <w:rsid w:val="0022171D"/>
    <w:rsid w:val="00230DD2"/>
    <w:rsid w:val="0029540E"/>
    <w:rsid w:val="002A0D70"/>
    <w:rsid w:val="002F6AA5"/>
    <w:rsid w:val="00311072"/>
    <w:rsid w:val="00322995"/>
    <w:rsid w:val="003A1F38"/>
    <w:rsid w:val="00422E08"/>
    <w:rsid w:val="00423533"/>
    <w:rsid w:val="00437B6E"/>
    <w:rsid w:val="00443AF0"/>
    <w:rsid w:val="00467983"/>
    <w:rsid w:val="00470278"/>
    <w:rsid w:val="004766BC"/>
    <w:rsid w:val="004C42D4"/>
    <w:rsid w:val="005E0DF9"/>
    <w:rsid w:val="006076D2"/>
    <w:rsid w:val="00646A2F"/>
    <w:rsid w:val="0066669F"/>
    <w:rsid w:val="00673B91"/>
    <w:rsid w:val="00675F51"/>
    <w:rsid w:val="006E6094"/>
    <w:rsid w:val="0070586B"/>
    <w:rsid w:val="007614AC"/>
    <w:rsid w:val="007905B7"/>
    <w:rsid w:val="007E39F2"/>
    <w:rsid w:val="00881005"/>
    <w:rsid w:val="008E0E18"/>
    <w:rsid w:val="008F75B1"/>
    <w:rsid w:val="00915AB8"/>
    <w:rsid w:val="0093116E"/>
    <w:rsid w:val="009701DF"/>
    <w:rsid w:val="00974C22"/>
    <w:rsid w:val="009D204F"/>
    <w:rsid w:val="009F66A4"/>
    <w:rsid w:val="00A53547"/>
    <w:rsid w:val="00A638BD"/>
    <w:rsid w:val="00AA7B73"/>
    <w:rsid w:val="00B45FB6"/>
    <w:rsid w:val="00B47A20"/>
    <w:rsid w:val="00C356E2"/>
    <w:rsid w:val="00C83B09"/>
    <w:rsid w:val="00C92510"/>
    <w:rsid w:val="00C952C5"/>
    <w:rsid w:val="00D13318"/>
    <w:rsid w:val="00D43143"/>
    <w:rsid w:val="00DB122B"/>
    <w:rsid w:val="00DB422E"/>
    <w:rsid w:val="00DD7801"/>
    <w:rsid w:val="00DE4975"/>
    <w:rsid w:val="00DE601A"/>
    <w:rsid w:val="00DF77CB"/>
    <w:rsid w:val="00E31BE3"/>
    <w:rsid w:val="00E402A8"/>
    <w:rsid w:val="00E42DD1"/>
    <w:rsid w:val="00E42F5A"/>
    <w:rsid w:val="00E82FF8"/>
    <w:rsid w:val="00EF03D0"/>
    <w:rsid w:val="00F3444C"/>
    <w:rsid w:val="00F44FE5"/>
    <w:rsid w:val="00F75432"/>
    <w:rsid w:val="00F977F8"/>
    <w:rsid w:val="00FA1752"/>
    <w:rsid w:val="00FC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paragraph" w:styleId="Revision">
    <w:name w:val="Revision"/>
    <w:hidden/>
    <w:uiPriority w:val="99"/>
    <w:semiHidden/>
    <w:rsid w:val="00322995"/>
    <w:pPr>
      <w:spacing w:line="240" w:lineRule="auto"/>
    </w:pPr>
  </w:style>
  <w:style w:type="character" w:styleId="CommentReference">
    <w:name w:val="annotation reference"/>
    <w:basedOn w:val="DefaultParagraphFont"/>
    <w:uiPriority w:val="99"/>
    <w:semiHidden/>
    <w:unhideWhenUsed/>
    <w:rsid w:val="00E42F5A"/>
    <w:rPr>
      <w:sz w:val="16"/>
      <w:szCs w:val="16"/>
    </w:rPr>
  </w:style>
  <w:style w:type="paragraph" w:styleId="CommentText">
    <w:name w:val="annotation text"/>
    <w:basedOn w:val="Normal"/>
    <w:link w:val="CommentTextChar"/>
    <w:uiPriority w:val="99"/>
    <w:unhideWhenUsed/>
    <w:rsid w:val="00E42F5A"/>
    <w:pPr>
      <w:spacing w:line="240" w:lineRule="auto"/>
    </w:pPr>
    <w:rPr>
      <w:sz w:val="20"/>
      <w:szCs w:val="20"/>
    </w:rPr>
  </w:style>
  <w:style w:type="character" w:customStyle="1" w:styleId="CommentTextChar">
    <w:name w:val="Comment Text Char"/>
    <w:basedOn w:val="DefaultParagraphFont"/>
    <w:link w:val="CommentText"/>
    <w:uiPriority w:val="99"/>
    <w:rsid w:val="00E42F5A"/>
    <w:rPr>
      <w:sz w:val="20"/>
      <w:szCs w:val="20"/>
    </w:rPr>
  </w:style>
  <w:style w:type="paragraph" w:styleId="CommentSubject">
    <w:name w:val="annotation subject"/>
    <w:basedOn w:val="CommentText"/>
    <w:next w:val="CommentText"/>
    <w:link w:val="CommentSubjectChar"/>
    <w:uiPriority w:val="99"/>
    <w:semiHidden/>
    <w:unhideWhenUsed/>
    <w:rsid w:val="00E42F5A"/>
    <w:rPr>
      <w:b/>
      <w:bCs/>
    </w:rPr>
  </w:style>
  <w:style w:type="character" w:customStyle="1" w:styleId="CommentSubjectChar">
    <w:name w:val="Comment Subject Char"/>
    <w:basedOn w:val="CommentTextChar"/>
    <w:link w:val="CommentSubject"/>
    <w:uiPriority w:val="99"/>
    <w:semiHidden/>
    <w:rsid w:val="00E42F5A"/>
    <w:rPr>
      <w:b/>
      <w:bCs/>
      <w:sz w:val="20"/>
      <w:szCs w:val="20"/>
    </w:rPr>
  </w:style>
  <w:style w:type="character" w:styleId="UnresolvedMention">
    <w:name w:val="Unresolved Mention"/>
    <w:basedOn w:val="DefaultParagraphFont"/>
    <w:uiPriority w:val="99"/>
    <w:semiHidden/>
    <w:unhideWhenUsed/>
    <w:rsid w:val="00A63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nsation@cascadeemployer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63A-3677-44F1-BAB3-CBE0B790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2024-09-17T21:04:00Z</dcterms:created>
  <dcterms:modified xsi:type="dcterms:W3CDTF">2024-09-17T21:04:00Z</dcterms:modified>
</cp:coreProperties>
</file>