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B854" w14:textId="225A649D" w:rsidR="001B584B" w:rsidRPr="00385ED1" w:rsidRDefault="00DD2694" w:rsidP="001B584B">
      <w:pPr>
        <w:spacing w:line="240" w:lineRule="auto"/>
        <w:rPr>
          <w:b/>
          <w:bCs/>
          <w:color w:val="002060"/>
        </w:rPr>
      </w:pPr>
      <w:r>
        <w:rPr>
          <w:rFonts w:eastAsia="DFKai-SB" w:cs="Arial"/>
          <w:b/>
          <w:color w:val="002060"/>
          <w:sz w:val="60"/>
          <w:szCs w:val="60"/>
        </w:rPr>
        <w:t>Glossary of Frequently Used DEI Terminology</w:t>
      </w:r>
    </w:p>
    <w:p w14:paraId="2B40096F" w14:textId="52B6B33A" w:rsidR="001B584B" w:rsidRDefault="001B584B" w:rsidP="001B584B">
      <w:pPr>
        <w:spacing w:line="240" w:lineRule="auto"/>
        <w:rPr>
          <w:b/>
          <w:bCs/>
          <w:color w:val="1D2C4C"/>
        </w:rPr>
      </w:pPr>
    </w:p>
    <w:p w14:paraId="43AA99F6" w14:textId="77777777" w:rsidR="00626A05" w:rsidRDefault="00626A05" w:rsidP="001B584B">
      <w:pPr>
        <w:spacing w:line="240" w:lineRule="auto"/>
        <w:rPr>
          <w:b/>
          <w:bCs/>
          <w:color w:val="1D2C4C"/>
        </w:rPr>
      </w:pPr>
    </w:p>
    <w:p w14:paraId="16E8877D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Accessibility</w:t>
      </w:r>
      <w:r w:rsidRPr="00CD39D6">
        <w:rPr>
          <w:rFonts w:cs="Arial"/>
          <w:color w:val="1D2C4C"/>
        </w:rPr>
        <w:t>: The design and provision of products, devices, services, or environments that can be used by people with disabilities.</w:t>
      </w:r>
    </w:p>
    <w:p w14:paraId="71A273F7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0047B55C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Affirmative Action</w:t>
      </w:r>
      <w:r w:rsidRPr="00CD39D6">
        <w:rPr>
          <w:rFonts w:cs="Arial"/>
          <w:color w:val="1D2C4C"/>
        </w:rPr>
        <w:t>: Policies and practices that aim to increase opportunities for underrepresented groups in areas such as employment, education</w:t>
      </w:r>
      <w:r>
        <w:rPr>
          <w:rFonts w:cs="Arial"/>
          <w:color w:val="1D2C4C"/>
        </w:rPr>
        <w:t>,</w:t>
      </w:r>
      <w:r w:rsidRPr="00CD39D6">
        <w:rPr>
          <w:rFonts w:cs="Arial"/>
          <w:color w:val="1D2C4C"/>
        </w:rPr>
        <w:t xml:space="preserve"> and business.</w:t>
      </w:r>
    </w:p>
    <w:p w14:paraId="5A0529D1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132214E4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Allyship</w:t>
      </w:r>
      <w:r w:rsidRPr="00CD39D6">
        <w:rPr>
          <w:rFonts w:cs="Arial"/>
          <w:color w:val="1D2C4C"/>
        </w:rPr>
        <w:t>: The practice of supporting and advocating for individuals from marginalized groups, often by those who are not members of those groups.</w:t>
      </w:r>
    </w:p>
    <w:p w14:paraId="1D882827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0B7911ED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Bias</w:t>
      </w:r>
      <w:r w:rsidRPr="00CD39D6">
        <w:rPr>
          <w:rFonts w:cs="Arial"/>
          <w:color w:val="1D2C4C"/>
        </w:rPr>
        <w:t>:  Prejudice or unfair inclination toward a particular group, person</w:t>
      </w:r>
      <w:r>
        <w:rPr>
          <w:rFonts w:cs="Arial"/>
          <w:color w:val="1D2C4C"/>
        </w:rPr>
        <w:t>,</w:t>
      </w:r>
      <w:r w:rsidRPr="00CD39D6">
        <w:rPr>
          <w:rFonts w:cs="Arial"/>
          <w:color w:val="1D2C4C"/>
        </w:rPr>
        <w:t xml:space="preserve"> or thing.</w:t>
      </w:r>
    </w:p>
    <w:p w14:paraId="3EB15597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342D46F1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Cultural Competence</w:t>
      </w:r>
      <w:r w:rsidRPr="00CD39D6">
        <w:rPr>
          <w:rFonts w:cs="Arial"/>
          <w:color w:val="1D2C4C"/>
        </w:rPr>
        <w:t>: The ability to understand, communicate with, and effectively interact with people across different cultures.</w:t>
      </w:r>
    </w:p>
    <w:p w14:paraId="48075129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5BC161EB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Diversity</w:t>
      </w:r>
      <w:r w:rsidRPr="00CD39D6">
        <w:rPr>
          <w:rFonts w:cs="Arial"/>
          <w:color w:val="1D2C4C"/>
        </w:rPr>
        <w:t>: The presence and inclusion of individuals from various backgrounds, cultures, and identities within a group or organization. Anything that makes you different f</w:t>
      </w:r>
      <w:r>
        <w:rPr>
          <w:rFonts w:cs="Arial"/>
          <w:color w:val="1D2C4C"/>
        </w:rPr>
        <w:t>ro</w:t>
      </w:r>
      <w:r w:rsidRPr="00CD39D6">
        <w:rPr>
          <w:rFonts w:cs="Arial"/>
          <w:color w:val="1D2C4C"/>
        </w:rPr>
        <w:t>m others.</w:t>
      </w:r>
    </w:p>
    <w:p w14:paraId="24D64DEA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4C77BFCE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Equity</w:t>
      </w:r>
      <w:r w:rsidRPr="00CD39D6">
        <w:rPr>
          <w:rFonts w:cs="Arial"/>
          <w:color w:val="1D2C4C"/>
        </w:rPr>
        <w:t>: The fair treatment, access, and opportunity for all individuals, regardless of their background, to reach their full potential.</w:t>
      </w:r>
    </w:p>
    <w:p w14:paraId="29062BB6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6CC7B1D7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Inclusion</w:t>
      </w:r>
      <w:r w:rsidRPr="00CD39D6">
        <w:rPr>
          <w:rFonts w:cs="Arial"/>
          <w:color w:val="1D2C4C"/>
        </w:rPr>
        <w:t>: The act of creating an environment where all individuals feel valued, respected, and supported, and have equal access to opportunities.</w:t>
      </w:r>
    </w:p>
    <w:p w14:paraId="43FE854F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164CF973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Microaggressions</w:t>
      </w:r>
      <w:r w:rsidRPr="00CD39D6">
        <w:rPr>
          <w:rFonts w:cs="Arial"/>
          <w:color w:val="1D2C4C"/>
        </w:rPr>
        <w:t>: Subtle, often unintentional, discriminatory comments or behaviors that marginalize and belittle individuals based on their identity.</w:t>
      </w:r>
    </w:p>
    <w:p w14:paraId="220A6AC6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04AEF80A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Privilege</w:t>
      </w:r>
      <w:r w:rsidRPr="00CD39D6">
        <w:rPr>
          <w:rFonts w:cs="Arial"/>
          <w:color w:val="1D2C4C"/>
        </w:rPr>
        <w:t>: Earned and unearned benefits that individuals may have based on their social identity often resulting in systemic inequities.</w:t>
      </w:r>
    </w:p>
    <w:p w14:paraId="476E3D66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6B363A82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Stereotype</w:t>
      </w:r>
      <w:r w:rsidRPr="00CD39D6">
        <w:rPr>
          <w:rFonts w:cs="Arial"/>
          <w:color w:val="1D2C4C"/>
        </w:rPr>
        <w:t xml:space="preserve">: A widely held but fixed and oversimplified idea or belief about a particular individual group of people. </w:t>
      </w:r>
    </w:p>
    <w:p w14:paraId="1A6F7FDF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42893E31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Tokenism</w:t>
      </w:r>
      <w:r w:rsidRPr="00CD39D6">
        <w:rPr>
          <w:rFonts w:cs="Arial"/>
          <w:color w:val="1D2C4C"/>
        </w:rPr>
        <w:t>: The practice of including a few individuals from underrepresented groups to give the appearance of diversity without meaningful inclusion.</w:t>
      </w:r>
    </w:p>
    <w:p w14:paraId="2623AFC6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421B0DD4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Unconscious Bias</w:t>
      </w:r>
      <w:r w:rsidRPr="00CD39D6">
        <w:rPr>
          <w:rFonts w:cs="Arial"/>
          <w:color w:val="1D2C4C"/>
        </w:rPr>
        <w:t>: Implicit preferences or prejudices that individuals may have without being consciously aware of them.</w:t>
      </w:r>
    </w:p>
    <w:p w14:paraId="2E370C84" w14:textId="43084E97" w:rsidR="00DD2694" w:rsidRDefault="00DD2694" w:rsidP="00DD2694">
      <w:pPr>
        <w:rPr>
          <w:rFonts w:cs="Arial"/>
          <w:b/>
          <w:bCs/>
          <w:color w:val="1D2C4C"/>
        </w:rPr>
      </w:pPr>
    </w:p>
    <w:p w14:paraId="17524925" w14:textId="77777777" w:rsidR="00626A05" w:rsidRDefault="00626A05">
      <w:pPr>
        <w:rPr>
          <w:rFonts w:cs="Arial"/>
          <w:b/>
          <w:bCs/>
          <w:color w:val="1D2C4C"/>
        </w:rPr>
      </w:pPr>
      <w:r>
        <w:rPr>
          <w:rFonts w:cs="Arial"/>
          <w:b/>
          <w:bCs/>
          <w:color w:val="1D2C4C"/>
        </w:rPr>
        <w:br w:type="page"/>
      </w:r>
    </w:p>
    <w:p w14:paraId="10E7E1D9" w14:textId="02E1464A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lastRenderedPageBreak/>
        <w:t>Underrepresented</w:t>
      </w:r>
      <w:r w:rsidRPr="00CD39D6">
        <w:rPr>
          <w:rFonts w:cs="Arial"/>
          <w:color w:val="1D2C4C"/>
        </w:rPr>
        <w:t>:  Groups or individuals who have a lower representation or presence in a particular setting compared to their proportion in the overall population.</w:t>
      </w:r>
    </w:p>
    <w:p w14:paraId="2ACFF6A8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0736670C" w14:textId="30BBCE73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Intersectionality</w:t>
      </w:r>
      <w:r w:rsidRPr="00CD39D6">
        <w:rPr>
          <w:rFonts w:cs="Arial"/>
          <w:color w:val="1D2C4C"/>
        </w:rPr>
        <w:t>: The interconnected nature of social categorizations, such as race, gender, and class, that create overlapping and interdependent systems of discrimination or disadvantage.</w:t>
      </w:r>
    </w:p>
    <w:p w14:paraId="4D1BECEF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435D61CB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Queer</w:t>
      </w:r>
      <w:r w:rsidRPr="00CD39D6">
        <w:rPr>
          <w:rFonts w:cs="Arial"/>
          <w:color w:val="1D2C4C"/>
        </w:rPr>
        <w:t>:  An umbrella term used to describe individuals who do not identify as exclusively heterosexual or cisgender.</w:t>
      </w:r>
    </w:p>
    <w:p w14:paraId="707D81D5" w14:textId="77777777" w:rsidR="00DD2694" w:rsidRPr="00CD39D6" w:rsidRDefault="00DD2694" w:rsidP="00DD2694">
      <w:pPr>
        <w:ind w:left="360"/>
        <w:rPr>
          <w:rFonts w:cs="Arial"/>
          <w:color w:val="1D2C4C"/>
        </w:rPr>
      </w:pPr>
    </w:p>
    <w:p w14:paraId="19EAC776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Inclusive Language</w:t>
      </w:r>
      <w:r w:rsidRPr="00CD39D6">
        <w:rPr>
          <w:rFonts w:cs="Arial"/>
          <w:color w:val="1D2C4C"/>
        </w:rPr>
        <w:t>: Language that avoids excluding particular groups and is considerate of the diversity of individuals.</w:t>
      </w:r>
    </w:p>
    <w:p w14:paraId="5EF2AFBD" w14:textId="77777777" w:rsidR="00DD2694" w:rsidRPr="00CD39D6" w:rsidRDefault="00DD2694" w:rsidP="00DD2694">
      <w:pPr>
        <w:pStyle w:val="ListParagraph"/>
        <w:spacing w:line="300" w:lineRule="exact"/>
        <w:rPr>
          <w:rFonts w:ascii="Arial" w:hAnsi="Arial" w:cs="Arial"/>
          <w:color w:val="1D2C4C"/>
          <w:sz w:val="22"/>
          <w:szCs w:val="22"/>
        </w:rPr>
      </w:pPr>
    </w:p>
    <w:p w14:paraId="1F4CD681" w14:textId="77777777" w:rsidR="00DD2694" w:rsidRPr="00CD39D6" w:rsidRDefault="00DD2694" w:rsidP="00DD2694">
      <w:pPr>
        <w:numPr>
          <w:ilvl w:val="0"/>
          <w:numId w:val="14"/>
        </w:numPr>
        <w:tabs>
          <w:tab w:val="num" w:pos="720"/>
        </w:tabs>
        <w:rPr>
          <w:rFonts w:cs="Arial"/>
          <w:color w:val="1D2C4C"/>
        </w:rPr>
      </w:pPr>
      <w:r w:rsidRPr="00CD39D6">
        <w:rPr>
          <w:rFonts w:cs="Arial"/>
          <w:b/>
          <w:bCs/>
          <w:color w:val="1D2C4C"/>
        </w:rPr>
        <w:t>LGBTQ+</w:t>
      </w:r>
      <w:r w:rsidRPr="00CD39D6">
        <w:rPr>
          <w:rFonts w:cs="Arial"/>
          <w:color w:val="1D2C4C"/>
        </w:rPr>
        <w:t>: An acronym that stands for lesbian, gay, bisexual, transgender, queer (or questioning), and other identities, indicating a diverse range of sexual orientations and gender identities.</w:t>
      </w:r>
    </w:p>
    <w:p w14:paraId="7DEA2B43" w14:textId="77777777" w:rsidR="00385ED1" w:rsidRDefault="00385ED1" w:rsidP="00B96580">
      <w:pPr>
        <w:widowControl w:val="0"/>
        <w:ind w:left="20"/>
        <w:rPr>
          <w:rFonts w:cs="Arial"/>
          <w:color w:val="000000"/>
          <w:szCs w:val="24"/>
          <w:shd w:val="clear" w:color="auto" w:fill="FFFFFF"/>
        </w:rPr>
      </w:pPr>
    </w:p>
    <w:p w14:paraId="2649C363" w14:textId="6AF7E490" w:rsidR="00AC3965" w:rsidRDefault="00AC3965">
      <w:pPr>
        <w:rPr>
          <w:rFonts w:cs="Arial"/>
          <w:color w:val="000000"/>
          <w:shd w:val="clear" w:color="auto" w:fill="FFFFFF"/>
        </w:rPr>
      </w:pPr>
    </w:p>
    <w:sectPr w:rsidR="00AC3965" w:rsidSect="001B584B">
      <w:footerReference w:type="default" r:id="rId7"/>
      <w:pgSz w:w="12240" w:h="15840"/>
      <w:pgMar w:top="720" w:right="864" w:bottom="720" w:left="864" w:header="720" w:footer="720" w:gutter="0"/>
      <w:pgBorders w:offsetFrom="page">
        <w:top w:val="single" w:sz="4" w:space="24" w:color="1D2C4C"/>
        <w:left w:val="single" w:sz="4" w:space="24" w:color="1D2C4C"/>
        <w:bottom w:val="single" w:sz="4" w:space="24" w:color="1D2C4C"/>
        <w:right w:val="single" w:sz="4" w:space="24" w:color="1D2C4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45F6" w14:textId="77777777" w:rsidR="00E9617D" w:rsidRDefault="00E9617D" w:rsidP="00E31BE3">
      <w:pPr>
        <w:spacing w:line="240" w:lineRule="auto"/>
      </w:pPr>
      <w:r>
        <w:separator/>
      </w:r>
    </w:p>
  </w:endnote>
  <w:endnote w:type="continuationSeparator" w:id="0">
    <w:p w14:paraId="10F28845" w14:textId="77777777" w:rsidR="00E9617D" w:rsidRDefault="00E9617D" w:rsidP="00E31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A7BD" w14:textId="499BFC95" w:rsidR="00E31BE3" w:rsidRPr="00E31BE3" w:rsidRDefault="00E31BE3">
    <w:pPr>
      <w:pStyle w:val="Footer"/>
      <w:rPr>
        <w:b/>
        <w:bCs/>
        <w:color w:val="1D2C4C"/>
      </w:rPr>
    </w:pPr>
    <w:r w:rsidRPr="00E31BE3">
      <w:rPr>
        <w:b/>
        <w:bCs/>
        <w:noProof/>
        <w:sz w:val="24"/>
      </w:rPr>
      <w:drawing>
        <wp:anchor distT="0" distB="0" distL="114300" distR="114300" simplePos="0" relativeHeight="251659264" behindDoc="0" locked="0" layoutInCell="1" allowOverlap="1" wp14:anchorId="557D47E8" wp14:editId="556DB240">
          <wp:simplePos x="0" y="0"/>
          <wp:positionH relativeFrom="column">
            <wp:posOffset>4213860</wp:posOffset>
          </wp:positionH>
          <wp:positionV relativeFrom="paragraph">
            <wp:posOffset>-22225</wp:posOffset>
          </wp:positionV>
          <wp:extent cx="2526030" cy="304800"/>
          <wp:effectExtent l="0" t="0" r="7620" b="0"/>
          <wp:wrapNone/>
          <wp:docPr id="761070608" name="Picture 761070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BE3">
      <w:rPr>
        <w:b/>
        <w:bCs/>
        <w:color w:val="1D2C4C"/>
      </w:rPr>
      <w:t>info@cascadeemployers.com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03B8" w14:textId="77777777" w:rsidR="00E9617D" w:rsidRDefault="00E9617D" w:rsidP="00E31BE3">
      <w:pPr>
        <w:spacing w:line="240" w:lineRule="auto"/>
      </w:pPr>
      <w:r>
        <w:separator/>
      </w:r>
    </w:p>
  </w:footnote>
  <w:footnote w:type="continuationSeparator" w:id="0">
    <w:p w14:paraId="0DA160E6" w14:textId="77777777" w:rsidR="00E9617D" w:rsidRDefault="00E9617D" w:rsidP="00E31B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D36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1CE6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63F73"/>
    <w:multiLevelType w:val="hybridMultilevel"/>
    <w:tmpl w:val="EDC09432"/>
    <w:lvl w:ilvl="0" w:tplc="E1366186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0E197C90"/>
    <w:multiLevelType w:val="singleLevel"/>
    <w:tmpl w:val="C02028D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4" w15:restartNumberingAfterBreak="0">
    <w:nsid w:val="1147023E"/>
    <w:multiLevelType w:val="hybridMultilevel"/>
    <w:tmpl w:val="7BF02A04"/>
    <w:lvl w:ilvl="0" w:tplc="3D345746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84EFB"/>
    <w:multiLevelType w:val="singleLevel"/>
    <w:tmpl w:val="C02028D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6" w15:restartNumberingAfterBreak="0">
    <w:nsid w:val="12F73C6E"/>
    <w:multiLevelType w:val="hybridMultilevel"/>
    <w:tmpl w:val="F2E248CA"/>
    <w:lvl w:ilvl="0" w:tplc="F698B9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1D2C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27C78"/>
    <w:multiLevelType w:val="multilevel"/>
    <w:tmpl w:val="AD24D382"/>
    <w:lvl w:ilvl="0">
      <w:start w:val="1"/>
      <w:numFmt w:val="bullet"/>
      <w:lvlText w:val=""/>
      <w:lvlJc w:val="left"/>
      <w:rPr>
        <w:rFonts w:ascii="Wingdings 2" w:hAnsi="Wingdings 2" w:hint="default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92A13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F0A04"/>
    <w:multiLevelType w:val="hybridMultilevel"/>
    <w:tmpl w:val="7EF2999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D6E8195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70B21"/>
    <w:multiLevelType w:val="hybridMultilevel"/>
    <w:tmpl w:val="096CBFB2"/>
    <w:lvl w:ilvl="0" w:tplc="89D669D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D2C4C"/>
      </w:rPr>
    </w:lvl>
    <w:lvl w:ilvl="1" w:tplc="CAB06F40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  <w:color w:val="00206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84EC5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920D3"/>
    <w:multiLevelType w:val="hybridMultilevel"/>
    <w:tmpl w:val="56267C04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4704F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206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362AB8"/>
    <w:multiLevelType w:val="hybridMultilevel"/>
    <w:tmpl w:val="34A6251E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64AA255E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  <w:color w:val="002060"/>
      </w:r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1E985DE2"/>
    <w:multiLevelType w:val="hybridMultilevel"/>
    <w:tmpl w:val="9710BDAE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CAB06F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2" w:tplc="FFFFFFFF" w:tentative="1">
      <w:start w:val="1"/>
      <w:numFmt w:val="bullet"/>
      <w:lvlText w:val=""/>
      <w:lvlJc w:val="left"/>
      <w:pPr>
        <w:ind w:left="1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</w:abstractNum>
  <w:abstractNum w:abstractNumId="15" w15:restartNumberingAfterBreak="0">
    <w:nsid w:val="20A16D8E"/>
    <w:multiLevelType w:val="hybridMultilevel"/>
    <w:tmpl w:val="28FC93EE"/>
    <w:lvl w:ilvl="0" w:tplc="ACF815EE"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002060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77E53"/>
    <w:multiLevelType w:val="hybridMultilevel"/>
    <w:tmpl w:val="FF1EB4A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226B142D"/>
    <w:multiLevelType w:val="hybridMultilevel"/>
    <w:tmpl w:val="EC2AA32C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7130A54C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  <w:color w:val="002060"/>
      </w:r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25892BF3"/>
    <w:multiLevelType w:val="hybridMultilevel"/>
    <w:tmpl w:val="84FA1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26AB7"/>
    <w:multiLevelType w:val="hybridMultilevel"/>
    <w:tmpl w:val="8B6E9628"/>
    <w:lvl w:ilvl="0" w:tplc="880CB9A4">
      <w:start w:val="1"/>
      <w:numFmt w:val="decimal"/>
      <w:lvlText w:val="%1."/>
      <w:lvlJc w:val="left"/>
      <w:pPr>
        <w:ind w:left="360" w:hanging="360"/>
      </w:pPr>
      <w:rPr>
        <w:rFonts w:hint="default"/>
        <w:color w:val="1D2C4C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12BFB"/>
    <w:multiLevelType w:val="hybridMultilevel"/>
    <w:tmpl w:val="D1A2AA46"/>
    <w:lvl w:ilvl="0" w:tplc="AFA25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2C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D300C"/>
    <w:multiLevelType w:val="singleLevel"/>
    <w:tmpl w:val="E21AB1F6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7393B"/>
    <w:multiLevelType w:val="hybridMultilevel"/>
    <w:tmpl w:val="A4E806A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D807F7"/>
    <w:multiLevelType w:val="hybridMultilevel"/>
    <w:tmpl w:val="791CC532"/>
    <w:lvl w:ilvl="0" w:tplc="3A762EE6">
      <w:start w:val="1"/>
      <w:numFmt w:val="decimal"/>
      <w:lvlText w:val="%1."/>
      <w:lvlJc w:val="left"/>
      <w:pPr>
        <w:ind w:left="360" w:hanging="360"/>
      </w:pPr>
      <w:rPr>
        <w:rFonts w:hint="default"/>
        <w:color w:val="1D2C4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8D0E1F"/>
    <w:multiLevelType w:val="singleLevel"/>
    <w:tmpl w:val="C02028D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5" w15:restartNumberingAfterBreak="0">
    <w:nsid w:val="3A5632DA"/>
    <w:multiLevelType w:val="hybridMultilevel"/>
    <w:tmpl w:val="0E2C2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D4999"/>
    <w:multiLevelType w:val="hybridMultilevel"/>
    <w:tmpl w:val="CFC413CC"/>
    <w:lvl w:ilvl="0" w:tplc="207CB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1D2C4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4306D9"/>
    <w:multiLevelType w:val="hybridMultilevel"/>
    <w:tmpl w:val="6840E5A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88EE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206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7E39F9"/>
    <w:multiLevelType w:val="hybridMultilevel"/>
    <w:tmpl w:val="EAE605F4"/>
    <w:lvl w:ilvl="0" w:tplc="D47C4A28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FFFFFFFF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610788"/>
    <w:multiLevelType w:val="hybridMultilevel"/>
    <w:tmpl w:val="ADB0BDA4"/>
    <w:lvl w:ilvl="0" w:tplc="F618AE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71E30"/>
    <w:multiLevelType w:val="hybridMultilevel"/>
    <w:tmpl w:val="8B1C4F18"/>
    <w:lvl w:ilvl="0" w:tplc="9F2CE3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95903"/>
    <w:multiLevelType w:val="hybridMultilevel"/>
    <w:tmpl w:val="27A425CA"/>
    <w:lvl w:ilvl="0" w:tplc="E21AB1F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3539D6"/>
    <w:multiLevelType w:val="hybridMultilevel"/>
    <w:tmpl w:val="7680967E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FFD88D34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  <w:color w:val="002060"/>
      </w:r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4B22268B"/>
    <w:multiLevelType w:val="hybridMultilevel"/>
    <w:tmpl w:val="43BAAD28"/>
    <w:lvl w:ilvl="0" w:tplc="B8C2A374">
      <w:start w:val="1"/>
      <w:numFmt w:val="decimal"/>
      <w:lvlText w:val="%1."/>
      <w:lvlJc w:val="left"/>
      <w:pPr>
        <w:ind w:left="180" w:hanging="360"/>
      </w:pPr>
      <w:rPr>
        <w:rFonts w:ascii="Arial" w:hAnsi="Arial" w:cs="Arial" w:hint="default"/>
        <w:color w:val="1D2C4C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811C8F"/>
    <w:multiLevelType w:val="hybridMultilevel"/>
    <w:tmpl w:val="F89E6F98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B79A24E4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  <w:color w:val="002060"/>
      </w:r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4FE82E60"/>
    <w:multiLevelType w:val="hybridMultilevel"/>
    <w:tmpl w:val="BE66CD8A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CAB06F40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  <w:color w:val="002060"/>
      </w:r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51986F75"/>
    <w:multiLevelType w:val="hybridMultilevel"/>
    <w:tmpl w:val="656C5F98"/>
    <w:lvl w:ilvl="0" w:tplc="F618AE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2E0071"/>
    <w:multiLevelType w:val="hybridMultilevel"/>
    <w:tmpl w:val="9EC696FC"/>
    <w:lvl w:ilvl="0" w:tplc="D700D24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FFFFFFFF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279328E"/>
    <w:multiLevelType w:val="hybridMultilevel"/>
    <w:tmpl w:val="4424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4D4813"/>
    <w:multiLevelType w:val="hybridMultilevel"/>
    <w:tmpl w:val="ABAC8A9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66246F2"/>
    <w:multiLevelType w:val="hybridMultilevel"/>
    <w:tmpl w:val="B4FC9830"/>
    <w:lvl w:ilvl="0" w:tplc="D6724C3E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1" w15:restartNumberingAfterBreak="0">
    <w:nsid w:val="58D52A01"/>
    <w:multiLevelType w:val="hybridMultilevel"/>
    <w:tmpl w:val="CE1E1458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E464872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C3F20BD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B54FF4"/>
    <w:multiLevelType w:val="hybridMultilevel"/>
    <w:tmpl w:val="FFA2921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4" w15:restartNumberingAfterBreak="0">
    <w:nsid w:val="605D16D7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A149DD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7D3BDC"/>
    <w:multiLevelType w:val="hybridMultilevel"/>
    <w:tmpl w:val="50A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155F9F"/>
    <w:multiLevelType w:val="hybridMultilevel"/>
    <w:tmpl w:val="27347396"/>
    <w:lvl w:ilvl="0" w:tplc="DD84BDE0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8" w15:restartNumberingAfterBreak="0">
    <w:nsid w:val="69292602"/>
    <w:multiLevelType w:val="hybridMultilevel"/>
    <w:tmpl w:val="AF6AE2EE"/>
    <w:lvl w:ilvl="0" w:tplc="880CB9A4">
      <w:start w:val="1"/>
      <w:numFmt w:val="decimal"/>
      <w:lvlText w:val="%1."/>
      <w:lvlJc w:val="left"/>
      <w:pPr>
        <w:ind w:left="360" w:hanging="360"/>
      </w:pPr>
      <w:rPr>
        <w:rFonts w:hint="default"/>
        <w:color w:val="1D2C4C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C217541"/>
    <w:multiLevelType w:val="hybridMultilevel"/>
    <w:tmpl w:val="01765A18"/>
    <w:lvl w:ilvl="0" w:tplc="D792AAAA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D290DE4"/>
    <w:multiLevelType w:val="singleLevel"/>
    <w:tmpl w:val="C02028D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1" w15:restartNumberingAfterBreak="0">
    <w:nsid w:val="74E557D9"/>
    <w:multiLevelType w:val="hybridMultilevel"/>
    <w:tmpl w:val="C76ADF7E"/>
    <w:lvl w:ilvl="0" w:tplc="893AEC96">
      <w:start w:val="1"/>
      <w:numFmt w:val="decimal"/>
      <w:lvlText w:val="%1."/>
      <w:lvlJc w:val="left"/>
      <w:pPr>
        <w:ind w:left="380" w:hanging="360"/>
      </w:pPr>
      <w:rPr>
        <w:rFonts w:hint="default"/>
        <w:color w:val="1D2C4C"/>
      </w:rPr>
    </w:lvl>
    <w:lvl w:ilvl="1" w:tplc="4746AD84">
      <w:start w:val="1"/>
      <w:numFmt w:val="lowerLetter"/>
      <w:lvlText w:val="%2."/>
      <w:lvlJc w:val="left"/>
      <w:pPr>
        <w:ind w:left="1100" w:hanging="360"/>
      </w:pPr>
      <w:rPr>
        <w:rFonts w:hint="default"/>
        <w:color w:val="1D2C4C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2" w15:restartNumberingAfterBreak="0">
    <w:nsid w:val="75AD473F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2C2341"/>
    <w:multiLevelType w:val="hybridMultilevel"/>
    <w:tmpl w:val="C0762680"/>
    <w:lvl w:ilvl="0" w:tplc="58E245B0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4" w15:restartNumberingAfterBreak="0">
    <w:nsid w:val="78261684"/>
    <w:multiLevelType w:val="hybridMultilevel"/>
    <w:tmpl w:val="F918B0CE"/>
    <w:lvl w:ilvl="0" w:tplc="D7043F96"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color w:val="1D2C4C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89E144E"/>
    <w:multiLevelType w:val="hybridMultilevel"/>
    <w:tmpl w:val="19DA3FE2"/>
    <w:lvl w:ilvl="0" w:tplc="02D289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3D20D4"/>
    <w:multiLevelType w:val="singleLevel"/>
    <w:tmpl w:val="E21AB1F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666F50"/>
    <w:multiLevelType w:val="hybridMultilevel"/>
    <w:tmpl w:val="FCC829DA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D792AAAA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  <w:color w:val="002060"/>
      </w:r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8" w15:restartNumberingAfterBreak="0">
    <w:nsid w:val="7EC766C1"/>
    <w:multiLevelType w:val="hybridMultilevel"/>
    <w:tmpl w:val="F640BA1A"/>
    <w:lvl w:ilvl="0" w:tplc="F71C7F1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FFFFFFFF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F1F0A4B"/>
    <w:multiLevelType w:val="hybridMultilevel"/>
    <w:tmpl w:val="168A1380"/>
    <w:lvl w:ilvl="0" w:tplc="F618AE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552358"/>
    <w:multiLevelType w:val="hybridMultilevel"/>
    <w:tmpl w:val="8EC8F0DA"/>
    <w:lvl w:ilvl="0" w:tplc="F618AE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4506">
    <w:abstractNumId w:val="1"/>
  </w:num>
  <w:num w:numId="2" w16cid:durableId="1770926513">
    <w:abstractNumId w:val="4"/>
  </w:num>
  <w:num w:numId="3" w16cid:durableId="1042365530">
    <w:abstractNumId w:val="54"/>
  </w:num>
  <w:num w:numId="4" w16cid:durableId="1528056552">
    <w:abstractNumId w:val="44"/>
  </w:num>
  <w:num w:numId="5" w16cid:durableId="1429229683">
    <w:abstractNumId w:val="31"/>
  </w:num>
  <w:num w:numId="6" w16cid:durableId="1887138140">
    <w:abstractNumId w:val="56"/>
  </w:num>
  <w:num w:numId="7" w16cid:durableId="1733769215">
    <w:abstractNumId w:val="8"/>
  </w:num>
  <w:num w:numId="8" w16cid:durableId="1272200012">
    <w:abstractNumId w:val="45"/>
  </w:num>
  <w:num w:numId="9" w16cid:durableId="1263100332">
    <w:abstractNumId w:val="42"/>
  </w:num>
  <w:num w:numId="10" w16cid:durableId="196088572">
    <w:abstractNumId w:val="11"/>
  </w:num>
  <w:num w:numId="11" w16cid:durableId="400449110">
    <w:abstractNumId w:val="21"/>
  </w:num>
  <w:num w:numId="12" w16cid:durableId="631710014">
    <w:abstractNumId w:val="52"/>
  </w:num>
  <w:num w:numId="13" w16cid:durableId="50858914">
    <w:abstractNumId w:val="0"/>
  </w:num>
  <w:num w:numId="14" w16cid:durableId="1682658803">
    <w:abstractNumId w:val="15"/>
  </w:num>
  <w:num w:numId="15" w16cid:durableId="1587953965">
    <w:abstractNumId w:val="25"/>
  </w:num>
  <w:num w:numId="16" w16cid:durableId="1804033525">
    <w:abstractNumId w:val="20"/>
  </w:num>
  <w:num w:numId="17" w16cid:durableId="125662122">
    <w:abstractNumId w:val="3"/>
  </w:num>
  <w:num w:numId="18" w16cid:durableId="1726757916">
    <w:abstractNumId w:val="50"/>
  </w:num>
  <w:num w:numId="19" w16cid:durableId="655378738">
    <w:abstractNumId w:val="5"/>
  </w:num>
  <w:num w:numId="20" w16cid:durableId="1096753220">
    <w:abstractNumId w:val="24"/>
  </w:num>
  <w:num w:numId="21" w16cid:durableId="383799340">
    <w:abstractNumId w:val="23"/>
  </w:num>
  <w:num w:numId="22" w16cid:durableId="1941063953">
    <w:abstractNumId w:val="36"/>
  </w:num>
  <w:num w:numId="23" w16cid:durableId="714430564">
    <w:abstractNumId w:val="59"/>
  </w:num>
  <w:num w:numId="24" w16cid:durableId="372971200">
    <w:abstractNumId w:val="30"/>
  </w:num>
  <w:num w:numId="25" w16cid:durableId="198402408">
    <w:abstractNumId w:val="60"/>
  </w:num>
  <w:num w:numId="26" w16cid:durableId="1341004156">
    <w:abstractNumId w:val="22"/>
  </w:num>
  <w:num w:numId="27" w16cid:durableId="1286621555">
    <w:abstractNumId w:val="39"/>
  </w:num>
  <w:num w:numId="28" w16cid:durableId="977151429">
    <w:abstractNumId w:val="29"/>
  </w:num>
  <w:num w:numId="29" w16cid:durableId="1492019498">
    <w:abstractNumId w:val="38"/>
  </w:num>
  <w:num w:numId="30" w16cid:durableId="1656644715">
    <w:abstractNumId w:val="46"/>
  </w:num>
  <w:num w:numId="31" w16cid:durableId="1869677478">
    <w:abstractNumId w:val="43"/>
  </w:num>
  <w:num w:numId="32" w16cid:durableId="226916961">
    <w:abstractNumId w:val="6"/>
  </w:num>
  <w:num w:numId="33" w16cid:durableId="1680696090">
    <w:abstractNumId w:val="48"/>
  </w:num>
  <w:num w:numId="34" w16cid:durableId="826869435">
    <w:abstractNumId w:val="19"/>
  </w:num>
  <w:num w:numId="35" w16cid:durableId="116022996">
    <w:abstractNumId w:val="18"/>
  </w:num>
  <w:num w:numId="36" w16cid:durableId="928469109">
    <w:abstractNumId w:val="2"/>
  </w:num>
  <w:num w:numId="37" w16cid:durableId="1169519037">
    <w:abstractNumId w:val="16"/>
  </w:num>
  <w:num w:numId="38" w16cid:durableId="580070422">
    <w:abstractNumId w:val="47"/>
  </w:num>
  <w:num w:numId="39" w16cid:durableId="1696735472">
    <w:abstractNumId w:val="40"/>
  </w:num>
  <w:num w:numId="40" w16cid:durableId="610019158">
    <w:abstractNumId w:val="53"/>
  </w:num>
  <w:num w:numId="41" w16cid:durableId="1518614506">
    <w:abstractNumId w:val="33"/>
  </w:num>
  <w:num w:numId="42" w16cid:durableId="280067624">
    <w:abstractNumId w:val="37"/>
  </w:num>
  <w:num w:numId="43" w16cid:durableId="1917785889">
    <w:abstractNumId w:val="9"/>
  </w:num>
  <w:num w:numId="44" w16cid:durableId="450587464">
    <w:abstractNumId w:val="41"/>
  </w:num>
  <w:num w:numId="45" w16cid:durableId="878397490">
    <w:abstractNumId w:val="28"/>
  </w:num>
  <w:num w:numId="46" w16cid:durableId="912931320">
    <w:abstractNumId w:val="58"/>
  </w:num>
  <w:num w:numId="47" w16cid:durableId="1066798769">
    <w:abstractNumId w:val="51"/>
  </w:num>
  <w:num w:numId="48" w16cid:durableId="1930308846">
    <w:abstractNumId w:val="27"/>
  </w:num>
  <w:num w:numId="49" w16cid:durableId="1810518213">
    <w:abstractNumId w:val="12"/>
  </w:num>
  <w:num w:numId="50" w16cid:durableId="672802223">
    <w:abstractNumId w:val="17"/>
  </w:num>
  <w:num w:numId="51" w16cid:durableId="2005740807">
    <w:abstractNumId w:val="32"/>
  </w:num>
  <w:num w:numId="52" w16cid:durableId="496894126">
    <w:abstractNumId w:val="13"/>
  </w:num>
  <w:num w:numId="53" w16cid:durableId="1553301385">
    <w:abstractNumId w:val="34"/>
  </w:num>
  <w:num w:numId="54" w16cid:durableId="1315260555">
    <w:abstractNumId w:val="35"/>
  </w:num>
  <w:num w:numId="55" w16cid:durableId="433478597">
    <w:abstractNumId w:val="57"/>
  </w:num>
  <w:num w:numId="56" w16cid:durableId="90396268">
    <w:abstractNumId w:val="7"/>
  </w:num>
  <w:num w:numId="57" w16cid:durableId="830486744">
    <w:abstractNumId w:val="49"/>
  </w:num>
  <w:num w:numId="58" w16cid:durableId="1642661349">
    <w:abstractNumId w:val="14"/>
  </w:num>
  <w:num w:numId="59" w16cid:durableId="313535387">
    <w:abstractNumId w:val="26"/>
  </w:num>
  <w:num w:numId="60" w16cid:durableId="255021385">
    <w:abstractNumId w:val="10"/>
  </w:num>
  <w:num w:numId="61" w16cid:durableId="347607153">
    <w:abstractNumId w:val="5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4B"/>
    <w:rsid w:val="00062B03"/>
    <w:rsid w:val="000662A1"/>
    <w:rsid w:val="00167C16"/>
    <w:rsid w:val="0018511A"/>
    <w:rsid w:val="00191125"/>
    <w:rsid w:val="00191136"/>
    <w:rsid w:val="001922C5"/>
    <w:rsid w:val="001B584B"/>
    <w:rsid w:val="00230DD2"/>
    <w:rsid w:val="002A0D70"/>
    <w:rsid w:val="002D375C"/>
    <w:rsid w:val="002F6AA5"/>
    <w:rsid w:val="00385ED1"/>
    <w:rsid w:val="003D4595"/>
    <w:rsid w:val="003F4D9A"/>
    <w:rsid w:val="00422E08"/>
    <w:rsid w:val="00467983"/>
    <w:rsid w:val="004766BC"/>
    <w:rsid w:val="004E521F"/>
    <w:rsid w:val="00626A05"/>
    <w:rsid w:val="00646A2F"/>
    <w:rsid w:val="00673B91"/>
    <w:rsid w:val="00675F51"/>
    <w:rsid w:val="006E6094"/>
    <w:rsid w:val="007440CA"/>
    <w:rsid w:val="007614AC"/>
    <w:rsid w:val="007919CE"/>
    <w:rsid w:val="008F75B1"/>
    <w:rsid w:val="00915AB8"/>
    <w:rsid w:val="00974C22"/>
    <w:rsid w:val="009F3F24"/>
    <w:rsid w:val="00A53547"/>
    <w:rsid w:val="00AA7B73"/>
    <w:rsid w:val="00AC3965"/>
    <w:rsid w:val="00AE57F8"/>
    <w:rsid w:val="00B47A20"/>
    <w:rsid w:val="00B96580"/>
    <w:rsid w:val="00C356E2"/>
    <w:rsid w:val="00C83B09"/>
    <w:rsid w:val="00C952C5"/>
    <w:rsid w:val="00CE6ECB"/>
    <w:rsid w:val="00DD2694"/>
    <w:rsid w:val="00DF7B9F"/>
    <w:rsid w:val="00E31BE3"/>
    <w:rsid w:val="00E402A8"/>
    <w:rsid w:val="00E42DD1"/>
    <w:rsid w:val="00E9617D"/>
    <w:rsid w:val="00EF03D0"/>
    <w:rsid w:val="00F44FE5"/>
    <w:rsid w:val="00F65E57"/>
    <w:rsid w:val="00F674BA"/>
    <w:rsid w:val="00FD1915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06379"/>
  <w15:chartTrackingRefBased/>
  <w15:docId w15:val="{FCC07409-C716-4680-B012-BD599DA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56E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B584B"/>
    <w:pPr>
      <w:spacing w:line="340" w:lineRule="exact"/>
      <w:outlineLvl w:val="1"/>
    </w:pPr>
    <w:rPr>
      <w:rFonts w:eastAsia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1B584B"/>
    <w:rPr>
      <w:rFonts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1B584B"/>
    <w:pPr>
      <w:spacing w:line="340" w:lineRule="exact"/>
      <w:ind w:left="720"/>
    </w:pPr>
    <w:rPr>
      <w:rFonts w:ascii="Garamond" w:eastAsia="Times New Roman" w:hAnsi="Garamond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402A8"/>
    <w:pPr>
      <w:ind w:left="360"/>
    </w:pPr>
    <w:rPr>
      <w:rFonts w:eastAsia="Times New Roman" w:cs="Arial"/>
    </w:rPr>
  </w:style>
  <w:style w:type="paragraph" w:styleId="Header">
    <w:name w:val="header"/>
    <w:basedOn w:val="Normal"/>
    <w:link w:val="HeaderChar"/>
    <w:uiPriority w:val="99"/>
    <w:unhideWhenUsed/>
    <w:rsid w:val="00E31B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E3"/>
  </w:style>
  <w:style w:type="paragraph" w:styleId="Footer">
    <w:name w:val="footer"/>
    <w:basedOn w:val="Normal"/>
    <w:link w:val="FooterChar"/>
    <w:uiPriority w:val="99"/>
    <w:unhideWhenUsed/>
    <w:rsid w:val="00E31B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E3"/>
  </w:style>
  <w:style w:type="character" w:customStyle="1" w:styleId="Heading1Char">
    <w:name w:val="Heading 1 Char"/>
    <w:basedOn w:val="DefaultParagraphFont"/>
    <w:link w:val="Heading1"/>
    <w:rsid w:val="00C356E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356E2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356E2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6E60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60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E6094"/>
    <w:rPr>
      <w:vertAlign w:val="superscript"/>
    </w:rPr>
  </w:style>
  <w:style w:type="character" w:styleId="Hyperlink">
    <w:name w:val="Hyperlink"/>
    <w:rsid w:val="00422E08"/>
    <w:rPr>
      <w:color w:val="0000FF"/>
      <w:u w:val="single"/>
    </w:rPr>
  </w:style>
  <w:style w:type="character" w:styleId="Emphasis">
    <w:name w:val="Emphasis"/>
    <w:uiPriority w:val="20"/>
    <w:qFormat/>
    <w:rsid w:val="00385ED1"/>
    <w:rPr>
      <w:i/>
      <w:iCs/>
    </w:rPr>
  </w:style>
  <w:style w:type="character" w:customStyle="1" w:styleId="cf01">
    <w:name w:val="cf01"/>
    <w:rsid w:val="00385ED1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D375C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E4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A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VanDyke</dc:creator>
  <cp:keywords/>
  <dc:description/>
  <cp:lastModifiedBy>Angela Bergerson</cp:lastModifiedBy>
  <cp:revision>2</cp:revision>
  <cp:lastPrinted>2022-03-11T21:00:00Z</cp:lastPrinted>
  <dcterms:created xsi:type="dcterms:W3CDTF">2024-03-05T17:21:00Z</dcterms:created>
  <dcterms:modified xsi:type="dcterms:W3CDTF">2024-03-05T17:21:00Z</dcterms:modified>
</cp:coreProperties>
</file>