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B854" w14:textId="7F15CE24" w:rsidR="001B584B" w:rsidRPr="001B584B" w:rsidRDefault="00F952F9" w:rsidP="001B584B">
      <w:pPr>
        <w:spacing w:line="240" w:lineRule="auto"/>
        <w:rPr>
          <w:b/>
          <w:bCs/>
          <w:color w:val="1D2C4C"/>
        </w:rPr>
      </w:pPr>
      <w:r w:rsidRPr="001F3ED6">
        <w:rPr>
          <w:rFonts w:cs="Arial"/>
          <w:b/>
          <w:color w:val="273758"/>
          <w:sz w:val="60"/>
        </w:rPr>
        <w:t>Fact Sheet on Oregon’s Employer Accommodation for Pregnancy Act</w:t>
      </w:r>
    </w:p>
    <w:p w14:paraId="2B40096F" w14:textId="52B6B33A" w:rsidR="001B584B" w:rsidRDefault="001B584B" w:rsidP="001B584B">
      <w:pPr>
        <w:spacing w:line="240" w:lineRule="auto"/>
        <w:rPr>
          <w:b/>
          <w:bCs/>
          <w:color w:val="1D2C4C"/>
        </w:rPr>
      </w:pPr>
    </w:p>
    <w:p w14:paraId="5348DECE" w14:textId="77777777" w:rsidR="00F952F9" w:rsidRPr="001F3ED6" w:rsidRDefault="00F952F9" w:rsidP="00F952F9">
      <w:pPr>
        <w:pStyle w:val="BodyText"/>
        <w:spacing w:before="0" w:line="244" w:lineRule="auto"/>
        <w:ind w:left="110"/>
        <w:rPr>
          <w:rFonts w:ascii="Arial" w:hAnsi="Arial" w:cs="Arial"/>
        </w:rPr>
      </w:pPr>
      <w:r w:rsidRPr="001F3ED6">
        <w:rPr>
          <w:rFonts w:ascii="Arial" w:hAnsi="Arial" w:cs="Arial"/>
          <w:color w:val="231F20"/>
        </w:rPr>
        <w:t>The Employer Accommodation for Pregnancy Act clarifies workplace protections for applicants and employees who have known limitations related to pregnancy, childbirth, or a related medical condition, including but not limited to lactation.</w:t>
      </w:r>
    </w:p>
    <w:p w14:paraId="2D9877C7" w14:textId="77777777" w:rsidR="00F952F9" w:rsidRPr="001F3ED6" w:rsidRDefault="00F952F9" w:rsidP="00F952F9">
      <w:pPr>
        <w:pStyle w:val="BodyText"/>
        <w:spacing w:before="1"/>
        <w:rPr>
          <w:rFonts w:ascii="Arial" w:hAnsi="Arial" w:cs="Arial"/>
        </w:rPr>
      </w:pPr>
    </w:p>
    <w:p w14:paraId="4D37D932" w14:textId="77777777" w:rsidR="00F952F9" w:rsidRPr="002E4EE1" w:rsidRDefault="00F952F9" w:rsidP="00F952F9">
      <w:pPr>
        <w:pStyle w:val="Heading1"/>
        <w:rPr>
          <w:rFonts w:ascii="Arial" w:hAnsi="Arial" w:cs="Arial"/>
          <w:sz w:val="24"/>
          <w:szCs w:val="24"/>
        </w:rPr>
      </w:pPr>
      <w:r w:rsidRPr="002E4EE1">
        <w:rPr>
          <w:rFonts w:ascii="Arial" w:hAnsi="Arial" w:cs="Arial"/>
          <w:color w:val="273758"/>
          <w:sz w:val="24"/>
          <w:szCs w:val="24"/>
        </w:rPr>
        <w:t>Covered Employers</w:t>
      </w:r>
    </w:p>
    <w:p w14:paraId="72942D13" w14:textId="77777777" w:rsidR="00F952F9" w:rsidRPr="001F3ED6" w:rsidRDefault="00F952F9" w:rsidP="00F952F9">
      <w:pPr>
        <w:pStyle w:val="BodyText"/>
        <w:spacing w:before="184" w:line="244" w:lineRule="auto"/>
        <w:ind w:left="110" w:right="457"/>
        <w:rPr>
          <w:rFonts w:ascii="Arial" w:hAnsi="Arial" w:cs="Arial"/>
        </w:rPr>
      </w:pPr>
      <w:r w:rsidRPr="001F3ED6">
        <w:rPr>
          <w:rFonts w:ascii="Arial" w:hAnsi="Arial" w:cs="Arial"/>
          <w:color w:val="231F20"/>
        </w:rPr>
        <w:t>The Employer Accommodation for Pregnancy Act applies to employers with 6 or more employees in the state of Oregon.</w:t>
      </w:r>
    </w:p>
    <w:p w14:paraId="399230E8" w14:textId="77777777" w:rsidR="00F952F9" w:rsidRPr="001F3ED6" w:rsidRDefault="00F952F9" w:rsidP="00F952F9">
      <w:pPr>
        <w:pStyle w:val="BodyText"/>
        <w:spacing w:before="1"/>
        <w:rPr>
          <w:rFonts w:ascii="Arial" w:hAnsi="Arial" w:cs="Arial"/>
        </w:rPr>
      </w:pPr>
    </w:p>
    <w:p w14:paraId="386B09A0" w14:textId="77777777" w:rsidR="00F952F9" w:rsidRPr="002E4EE1" w:rsidRDefault="00F952F9" w:rsidP="00F952F9">
      <w:pPr>
        <w:pStyle w:val="Heading1"/>
        <w:rPr>
          <w:rFonts w:ascii="Arial" w:hAnsi="Arial" w:cs="Arial"/>
          <w:color w:val="273758"/>
          <w:sz w:val="24"/>
          <w:szCs w:val="24"/>
        </w:rPr>
      </w:pPr>
      <w:r w:rsidRPr="002E4EE1">
        <w:rPr>
          <w:rFonts w:ascii="Arial" w:hAnsi="Arial" w:cs="Arial"/>
          <w:color w:val="273758"/>
          <w:sz w:val="24"/>
          <w:szCs w:val="24"/>
        </w:rPr>
        <w:t>Requirements</w:t>
      </w:r>
    </w:p>
    <w:p w14:paraId="7D5D14B1" w14:textId="77777777" w:rsidR="00F952F9" w:rsidRPr="001F3ED6" w:rsidRDefault="00F952F9" w:rsidP="00F952F9">
      <w:pPr>
        <w:pStyle w:val="BodyText"/>
        <w:spacing w:before="183" w:line="244" w:lineRule="auto"/>
        <w:ind w:left="110"/>
        <w:rPr>
          <w:rFonts w:ascii="Arial" w:hAnsi="Arial" w:cs="Arial"/>
        </w:rPr>
      </w:pPr>
      <w:r w:rsidRPr="001F3ED6">
        <w:rPr>
          <w:rFonts w:ascii="Arial" w:hAnsi="Arial" w:cs="Arial"/>
          <w:color w:val="231F20"/>
        </w:rPr>
        <w:t>When a covered employer knows of an employee’s limitations due to pregnancy, childbirth, or a related condition, the employer cannot:</w:t>
      </w:r>
    </w:p>
    <w:p w14:paraId="76EFB4C5"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19" w:line="240" w:lineRule="auto"/>
        <w:rPr>
          <w:rFonts w:ascii="Arial" w:hAnsi="Arial" w:cs="Arial"/>
          <w:sz w:val="20"/>
        </w:rPr>
      </w:pPr>
      <w:r w:rsidRPr="001F3ED6">
        <w:rPr>
          <w:rFonts w:ascii="Arial" w:hAnsi="Arial" w:cs="Arial"/>
          <w:color w:val="231F20"/>
          <w:sz w:val="20"/>
        </w:rPr>
        <w:t>Refuse to make reasonable</w:t>
      </w:r>
      <w:r w:rsidRPr="001F3ED6">
        <w:rPr>
          <w:rFonts w:ascii="Arial" w:hAnsi="Arial" w:cs="Arial"/>
          <w:color w:val="231F20"/>
          <w:spacing w:val="-4"/>
          <w:sz w:val="20"/>
        </w:rPr>
        <w:t xml:space="preserve"> </w:t>
      </w:r>
      <w:r w:rsidRPr="001F3ED6">
        <w:rPr>
          <w:rFonts w:ascii="Arial" w:hAnsi="Arial" w:cs="Arial"/>
          <w:color w:val="231F20"/>
          <w:sz w:val="20"/>
        </w:rPr>
        <w:t>accommodations;</w:t>
      </w:r>
    </w:p>
    <w:p w14:paraId="64F6EE1D"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24" w:line="240" w:lineRule="auto"/>
        <w:rPr>
          <w:rFonts w:ascii="Arial" w:hAnsi="Arial" w:cs="Arial"/>
          <w:sz w:val="20"/>
        </w:rPr>
      </w:pPr>
      <w:r w:rsidRPr="001F3ED6">
        <w:rPr>
          <w:rFonts w:ascii="Arial" w:hAnsi="Arial" w:cs="Arial"/>
          <w:color w:val="231F20"/>
          <w:sz w:val="20"/>
        </w:rPr>
        <w:t>Deny employment opportunities based on the need of the employer to make a reasonable</w:t>
      </w:r>
      <w:r w:rsidRPr="001F3ED6">
        <w:rPr>
          <w:rFonts w:ascii="Arial" w:hAnsi="Arial" w:cs="Arial"/>
          <w:color w:val="231F20"/>
          <w:spacing w:val="-4"/>
          <w:sz w:val="20"/>
        </w:rPr>
        <w:t xml:space="preserve"> </w:t>
      </w:r>
      <w:r w:rsidRPr="001F3ED6">
        <w:rPr>
          <w:rFonts w:ascii="Arial" w:hAnsi="Arial" w:cs="Arial"/>
          <w:color w:val="231F20"/>
          <w:sz w:val="20"/>
        </w:rPr>
        <w:t>accommodation;</w:t>
      </w:r>
    </w:p>
    <w:p w14:paraId="7019B4CF"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24" w:line="240" w:lineRule="auto"/>
        <w:rPr>
          <w:rFonts w:ascii="Arial" w:hAnsi="Arial" w:cs="Arial"/>
          <w:sz w:val="20"/>
        </w:rPr>
      </w:pPr>
      <w:r w:rsidRPr="001F3ED6">
        <w:rPr>
          <w:rFonts w:ascii="Arial" w:hAnsi="Arial" w:cs="Arial"/>
          <w:color w:val="231F20"/>
          <w:spacing w:val="-6"/>
          <w:sz w:val="20"/>
        </w:rPr>
        <w:t xml:space="preserve">Take </w:t>
      </w:r>
      <w:r w:rsidRPr="001F3ED6">
        <w:rPr>
          <w:rFonts w:ascii="Arial" w:hAnsi="Arial" w:cs="Arial"/>
          <w:color w:val="231F20"/>
          <w:sz w:val="20"/>
        </w:rPr>
        <w:t>adverse employment action, discriminate, or retaliate because of a reasonable accommodation</w:t>
      </w:r>
      <w:r w:rsidRPr="001F3ED6">
        <w:rPr>
          <w:rFonts w:ascii="Arial" w:hAnsi="Arial" w:cs="Arial"/>
          <w:color w:val="231F20"/>
          <w:spacing w:val="-5"/>
          <w:sz w:val="20"/>
        </w:rPr>
        <w:t xml:space="preserve"> </w:t>
      </w:r>
      <w:r w:rsidRPr="001F3ED6">
        <w:rPr>
          <w:rFonts w:ascii="Arial" w:hAnsi="Arial" w:cs="Arial"/>
          <w:color w:val="231F20"/>
          <w:sz w:val="20"/>
        </w:rPr>
        <w:t>request;</w:t>
      </w:r>
    </w:p>
    <w:p w14:paraId="253A6715"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24" w:line="240" w:lineRule="auto"/>
        <w:rPr>
          <w:rFonts w:ascii="Arial" w:hAnsi="Arial" w:cs="Arial"/>
          <w:sz w:val="20"/>
        </w:rPr>
      </w:pPr>
      <w:r w:rsidRPr="001F3ED6">
        <w:rPr>
          <w:rFonts w:ascii="Arial" w:hAnsi="Arial" w:cs="Arial"/>
          <w:color w:val="231F20"/>
          <w:sz w:val="20"/>
        </w:rPr>
        <w:t>Require an employee or applicant to take a reasonable accommodation that is not</w:t>
      </w:r>
      <w:r w:rsidRPr="001F3ED6">
        <w:rPr>
          <w:rFonts w:ascii="Arial" w:hAnsi="Arial" w:cs="Arial"/>
          <w:color w:val="231F20"/>
          <w:spacing w:val="-8"/>
          <w:sz w:val="20"/>
        </w:rPr>
        <w:t xml:space="preserve"> </w:t>
      </w:r>
      <w:r w:rsidRPr="001F3ED6">
        <w:rPr>
          <w:rFonts w:ascii="Arial" w:hAnsi="Arial" w:cs="Arial"/>
          <w:color w:val="231F20"/>
          <w:sz w:val="20"/>
        </w:rPr>
        <w:t>necessary;</w:t>
      </w:r>
    </w:p>
    <w:p w14:paraId="4C914A19"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24" w:line="240" w:lineRule="auto"/>
        <w:rPr>
          <w:rFonts w:ascii="Arial" w:hAnsi="Arial" w:cs="Arial"/>
          <w:sz w:val="20"/>
        </w:rPr>
      </w:pPr>
      <w:r w:rsidRPr="001F3ED6">
        <w:rPr>
          <w:rFonts w:ascii="Arial" w:hAnsi="Arial" w:cs="Arial"/>
          <w:color w:val="231F20"/>
          <w:sz w:val="20"/>
        </w:rPr>
        <w:t>Require OFLA or any other leave if the employer can make a reasonable</w:t>
      </w:r>
      <w:r w:rsidRPr="001F3ED6">
        <w:rPr>
          <w:rFonts w:ascii="Arial" w:hAnsi="Arial" w:cs="Arial"/>
          <w:color w:val="231F20"/>
          <w:spacing w:val="-8"/>
          <w:sz w:val="20"/>
        </w:rPr>
        <w:t xml:space="preserve"> </w:t>
      </w:r>
      <w:r w:rsidRPr="001F3ED6">
        <w:rPr>
          <w:rFonts w:ascii="Arial" w:hAnsi="Arial" w:cs="Arial"/>
          <w:color w:val="231F20"/>
          <w:sz w:val="20"/>
        </w:rPr>
        <w:t>accommodation.</w:t>
      </w:r>
    </w:p>
    <w:p w14:paraId="7CD48722" w14:textId="77777777" w:rsidR="00F952F9" w:rsidRPr="001F3ED6" w:rsidRDefault="00F952F9" w:rsidP="00F952F9">
      <w:pPr>
        <w:pStyle w:val="BodyText"/>
        <w:spacing w:before="6"/>
        <w:rPr>
          <w:rFonts w:ascii="Arial" w:hAnsi="Arial" w:cs="Arial"/>
        </w:rPr>
      </w:pPr>
    </w:p>
    <w:p w14:paraId="00510C55" w14:textId="77777777" w:rsidR="00F952F9" w:rsidRPr="002E4EE1" w:rsidRDefault="00F952F9" w:rsidP="00F952F9">
      <w:pPr>
        <w:pStyle w:val="Heading1"/>
        <w:rPr>
          <w:rFonts w:ascii="Arial" w:hAnsi="Arial" w:cs="Arial"/>
          <w:color w:val="273758"/>
          <w:sz w:val="24"/>
          <w:szCs w:val="24"/>
        </w:rPr>
      </w:pPr>
      <w:r w:rsidRPr="002E4EE1">
        <w:rPr>
          <w:rFonts w:ascii="Arial" w:hAnsi="Arial" w:cs="Arial"/>
          <w:color w:val="273758"/>
          <w:sz w:val="24"/>
          <w:szCs w:val="24"/>
        </w:rPr>
        <w:t>Potential Reasonable Accommodations</w:t>
      </w:r>
    </w:p>
    <w:p w14:paraId="4052B86D" w14:textId="77777777" w:rsidR="00F952F9" w:rsidRPr="001F3ED6" w:rsidRDefault="00F952F9" w:rsidP="00F952F9">
      <w:pPr>
        <w:pStyle w:val="BodyText"/>
        <w:spacing w:before="183" w:line="244" w:lineRule="auto"/>
        <w:ind w:left="110"/>
        <w:rPr>
          <w:rFonts w:ascii="Arial" w:hAnsi="Arial" w:cs="Arial"/>
        </w:rPr>
      </w:pPr>
      <w:r w:rsidRPr="001F3ED6">
        <w:rPr>
          <w:rFonts w:ascii="Arial" w:hAnsi="Arial" w:cs="Arial"/>
          <w:color w:val="231F20"/>
        </w:rPr>
        <w:t>Reasonable accommodations for an employee’s known limitations due to pregnancy, childbirth, or a related condition includes but is not limited to:</w:t>
      </w:r>
    </w:p>
    <w:p w14:paraId="4079F322"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19" w:line="240" w:lineRule="auto"/>
        <w:rPr>
          <w:rFonts w:ascii="Arial" w:hAnsi="Arial" w:cs="Arial"/>
          <w:sz w:val="20"/>
        </w:rPr>
      </w:pPr>
      <w:r w:rsidRPr="001F3ED6">
        <w:rPr>
          <w:rFonts w:ascii="Arial" w:hAnsi="Arial" w:cs="Arial"/>
          <w:color w:val="231F20"/>
          <w:sz w:val="20"/>
        </w:rPr>
        <w:t>Acquisition of equipment;</w:t>
      </w:r>
    </w:p>
    <w:p w14:paraId="217136CC"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24" w:line="240" w:lineRule="auto"/>
        <w:rPr>
          <w:rFonts w:ascii="Arial" w:hAnsi="Arial" w:cs="Arial"/>
          <w:sz w:val="20"/>
        </w:rPr>
      </w:pPr>
      <w:r w:rsidRPr="001F3ED6">
        <w:rPr>
          <w:rFonts w:ascii="Arial" w:hAnsi="Arial" w:cs="Arial"/>
          <w:color w:val="231F20"/>
          <w:sz w:val="20"/>
        </w:rPr>
        <w:t>More frequent or longer rest</w:t>
      </w:r>
      <w:r w:rsidRPr="001F3ED6">
        <w:rPr>
          <w:rFonts w:ascii="Arial" w:hAnsi="Arial" w:cs="Arial"/>
          <w:color w:val="231F20"/>
          <w:spacing w:val="-16"/>
          <w:sz w:val="20"/>
        </w:rPr>
        <w:t xml:space="preserve"> </w:t>
      </w:r>
      <w:r w:rsidRPr="001F3ED6">
        <w:rPr>
          <w:rFonts w:ascii="Arial" w:hAnsi="Arial" w:cs="Arial"/>
          <w:color w:val="231F20"/>
          <w:sz w:val="20"/>
        </w:rPr>
        <w:t>breaks;</w:t>
      </w:r>
    </w:p>
    <w:p w14:paraId="0F4FE29D"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24" w:line="240" w:lineRule="auto"/>
        <w:rPr>
          <w:rFonts w:ascii="Arial" w:hAnsi="Arial" w:cs="Arial"/>
          <w:sz w:val="20"/>
        </w:rPr>
      </w:pPr>
      <w:r w:rsidRPr="001F3ED6">
        <w:rPr>
          <w:rFonts w:ascii="Arial" w:hAnsi="Arial" w:cs="Arial"/>
          <w:color w:val="231F20"/>
          <w:sz w:val="20"/>
        </w:rPr>
        <w:t>Assistance with manual labor;</w:t>
      </w:r>
    </w:p>
    <w:p w14:paraId="06B564D9"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24" w:line="240" w:lineRule="auto"/>
        <w:rPr>
          <w:rFonts w:ascii="Arial" w:hAnsi="Arial" w:cs="Arial"/>
          <w:sz w:val="20"/>
        </w:rPr>
      </w:pPr>
      <w:r w:rsidRPr="001F3ED6">
        <w:rPr>
          <w:rFonts w:ascii="Arial" w:hAnsi="Arial" w:cs="Arial"/>
          <w:color w:val="231F20"/>
          <w:sz w:val="20"/>
        </w:rPr>
        <w:t>Modification of work</w:t>
      </w:r>
      <w:r w:rsidRPr="001F3ED6">
        <w:rPr>
          <w:rFonts w:ascii="Arial" w:hAnsi="Arial" w:cs="Arial"/>
          <w:color w:val="231F20"/>
          <w:spacing w:val="-4"/>
          <w:sz w:val="20"/>
        </w:rPr>
        <w:t xml:space="preserve"> </w:t>
      </w:r>
      <w:r w:rsidRPr="001F3ED6">
        <w:rPr>
          <w:rFonts w:ascii="Arial" w:hAnsi="Arial" w:cs="Arial"/>
          <w:color w:val="231F20"/>
          <w:sz w:val="20"/>
        </w:rPr>
        <w:t>schedules.</w:t>
      </w:r>
    </w:p>
    <w:p w14:paraId="43B64E32" w14:textId="15FED83D" w:rsidR="00E402A8" w:rsidRDefault="00E402A8" w:rsidP="001B584B">
      <w:pPr>
        <w:pStyle w:val="Subtitle"/>
        <w:spacing w:line="300" w:lineRule="exact"/>
        <w:rPr>
          <w:rFonts w:cs="Arial"/>
          <w:color w:val="1D2C4C"/>
        </w:rPr>
      </w:pPr>
    </w:p>
    <w:p w14:paraId="791DFEB4" w14:textId="77777777" w:rsidR="00F952F9" w:rsidRPr="002E4EE1" w:rsidRDefault="00F952F9" w:rsidP="00F952F9">
      <w:pPr>
        <w:pStyle w:val="Heading1"/>
        <w:rPr>
          <w:rFonts w:ascii="Arial" w:hAnsi="Arial" w:cs="Arial"/>
          <w:color w:val="273758"/>
          <w:sz w:val="24"/>
          <w:szCs w:val="24"/>
        </w:rPr>
      </w:pPr>
      <w:r w:rsidRPr="002E4EE1">
        <w:rPr>
          <w:rFonts w:ascii="Arial" w:hAnsi="Arial" w:cs="Arial"/>
          <w:color w:val="273758"/>
          <w:sz w:val="24"/>
          <w:szCs w:val="24"/>
        </w:rPr>
        <w:t>Posting Requirements</w:t>
      </w:r>
    </w:p>
    <w:p w14:paraId="0EC1310F" w14:textId="77777777" w:rsidR="00F952F9" w:rsidRPr="001F3ED6" w:rsidRDefault="00F952F9" w:rsidP="00F952F9">
      <w:pPr>
        <w:pStyle w:val="BodyText"/>
        <w:spacing w:before="184" w:line="244" w:lineRule="auto"/>
        <w:ind w:left="110"/>
        <w:rPr>
          <w:rFonts w:ascii="Arial" w:hAnsi="Arial" w:cs="Arial"/>
        </w:rPr>
      </w:pPr>
      <w:r w:rsidRPr="001F3ED6">
        <w:rPr>
          <w:rFonts w:ascii="Arial" w:hAnsi="Arial" w:cs="Arial"/>
          <w:color w:val="231F20"/>
        </w:rPr>
        <w:t>Employers must provide notice of the protections created under the Employer Accommodation for Pregnancy Act by posting signs in a highly visible workplace location and also by providing a written policy to:</w:t>
      </w:r>
    </w:p>
    <w:p w14:paraId="2483D50F"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19" w:line="240" w:lineRule="auto"/>
        <w:rPr>
          <w:rFonts w:ascii="Arial" w:hAnsi="Arial" w:cs="Arial"/>
          <w:sz w:val="20"/>
        </w:rPr>
      </w:pPr>
      <w:r w:rsidRPr="001F3ED6">
        <w:rPr>
          <w:rFonts w:ascii="Arial" w:hAnsi="Arial" w:cs="Arial"/>
          <w:color w:val="231F20"/>
          <w:sz w:val="20"/>
        </w:rPr>
        <w:t>New Employees upon</w:t>
      </w:r>
      <w:r w:rsidRPr="001F3ED6">
        <w:rPr>
          <w:rFonts w:ascii="Arial" w:hAnsi="Arial" w:cs="Arial"/>
          <w:color w:val="231F20"/>
          <w:spacing w:val="-4"/>
          <w:sz w:val="20"/>
        </w:rPr>
        <w:t xml:space="preserve"> </w:t>
      </w:r>
      <w:r w:rsidRPr="001F3ED6">
        <w:rPr>
          <w:rFonts w:ascii="Arial" w:hAnsi="Arial" w:cs="Arial"/>
          <w:color w:val="231F20"/>
          <w:sz w:val="20"/>
        </w:rPr>
        <w:t>hire;</w:t>
      </w:r>
    </w:p>
    <w:p w14:paraId="7091544C" w14:textId="77777777" w:rsidR="00F952F9" w:rsidRPr="001F3ED6" w:rsidRDefault="00F952F9" w:rsidP="00F952F9">
      <w:pPr>
        <w:pStyle w:val="ListParagraph"/>
        <w:widowControl w:val="0"/>
        <w:numPr>
          <w:ilvl w:val="0"/>
          <w:numId w:val="17"/>
        </w:numPr>
        <w:tabs>
          <w:tab w:val="left" w:pos="529"/>
          <w:tab w:val="left" w:pos="530"/>
        </w:tabs>
        <w:autoSpaceDE w:val="0"/>
        <w:autoSpaceDN w:val="0"/>
        <w:spacing w:before="124" w:line="240" w:lineRule="auto"/>
        <w:rPr>
          <w:rFonts w:ascii="Arial" w:hAnsi="Arial" w:cs="Arial"/>
          <w:sz w:val="20"/>
        </w:rPr>
      </w:pPr>
      <w:r w:rsidRPr="001F3ED6">
        <w:rPr>
          <w:rFonts w:ascii="Arial" w:hAnsi="Arial" w:cs="Arial"/>
          <w:color w:val="231F20"/>
          <w:sz w:val="20"/>
        </w:rPr>
        <w:t>Employees within 10 days after the employee informs them of their pregnancy or pregnancy-related</w:t>
      </w:r>
      <w:r w:rsidRPr="001F3ED6">
        <w:rPr>
          <w:rFonts w:ascii="Arial" w:hAnsi="Arial" w:cs="Arial"/>
          <w:color w:val="231F20"/>
          <w:spacing w:val="-12"/>
          <w:sz w:val="20"/>
        </w:rPr>
        <w:t xml:space="preserve"> </w:t>
      </w:r>
      <w:r w:rsidRPr="001F3ED6">
        <w:rPr>
          <w:rFonts w:ascii="Arial" w:hAnsi="Arial" w:cs="Arial"/>
          <w:color w:val="231F20"/>
          <w:sz w:val="20"/>
        </w:rPr>
        <w:t>condition</w:t>
      </w:r>
      <w:r>
        <w:rPr>
          <w:rFonts w:ascii="Arial" w:hAnsi="Arial" w:cs="Arial"/>
          <w:color w:val="231F20"/>
          <w:sz w:val="20"/>
        </w:rPr>
        <w:t>.</w:t>
      </w:r>
    </w:p>
    <w:p w14:paraId="125BDC20" w14:textId="77777777" w:rsidR="00F952F9" w:rsidRPr="001F3ED6" w:rsidRDefault="00F952F9" w:rsidP="00F952F9">
      <w:pPr>
        <w:tabs>
          <w:tab w:val="left" w:pos="529"/>
          <w:tab w:val="left" w:pos="530"/>
        </w:tabs>
        <w:ind w:left="110"/>
        <w:rPr>
          <w:rFonts w:cs="Arial"/>
          <w:sz w:val="20"/>
        </w:rPr>
      </w:pPr>
    </w:p>
    <w:p w14:paraId="69187C7B" w14:textId="77777777" w:rsidR="00F952F9" w:rsidRPr="002E4EE1" w:rsidRDefault="00F952F9" w:rsidP="00F952F9">
      <w:pPr>
        <w:pStyle w:val="Heading1"/>
        <w:rPr>
          <w:rFonts w:ascii="Arial" w:hAnsi="Arial" w:cs="Arial"/>
          <w:color w:val="273758"/>
          <w:sz w:val="24"/>
          <w:szCs w:val="24"/>
        </w:rPr>
      </w:pPr>
      <w:r w:rsidRPr="002E4EE1">
        <w:rPr>
          <w:rFonts w:ascii="Arial" w:hAnsi="Arial" w:cs="Arial"/>
          <w:color w:val="273758"/>
          <w:sz w:val="24"/>
          <w:szCs w:val="24"/>
        </w:rPr>
        <w:t>Undue Hardship</w:t>
      </w:r>
    </w:p>
    <w:p w14:paraId="6B6C781C" w14:textId="77777777" w:rsidR="00F952F9" w:rsidRPr="0060410D" w:rsidRDefault="00F952F9" w:rsidP="00F952F9">
      <w:pPr>
        <w:pStyle w:val="Heading1"/>
        <w:rPr>
          <w:rFonts w:ascii="Arial" w:hAnsi="Arial" w:cs="Arial"/>
          <w:color w:val="273758"/>
        </w:rPr>
      </w:pPr>
    </w:p>
    <w:p w14:paraId="3B48CCEC" w14:textId="77777777" w:rsidR="00F952F9" w:rsidRPr="001F3ED6" w:rsidRDefault="00F952F9" w:rsidP="00F952F9">
      <w:pPr>
        <w:ind w:left="110"/>
        <w:rPr>
          <w:rFonts w:cs="Arial"/>
          <w:sz w:val="20"/>
          <w:szCs w:val="20"/>
        </w:rPr>
      </w:pPr>
      <w:r w:rsidRPr="001F3ED6">
        <w:rPr>
          <w:rFonts w:cs="Arial"/>
          <w:sz w:val="20"/>
          <w:szCs w:val="20"/>
        </w:rPr>
        <w:t xml:space="preserve">Employers must provide reasonable accommodations unless doing so would impose an undue hardship. An   accommodation would be considered an undue hardship if it requires “significant difficulty or expense.” To determine significant difficulty or expense consider the following factors: </w:t>
      </w:r>
    </w:p>
    <w:p w14:paraId="72EA5239" w14:textId="77777777" w:rsidR="00F952F9" w:rsidRPr="001F3ED6" w:rsidRDefault="00F952F9" w:rsidP="00F952F9">
      <w:pPr>
        <w:pStyle w:val="ListParagraph"/>
        <w:widowControl w:val="0"/>
        <w:numPr>
          <w:ilvl w:val="0"/>
          <w:numId w:val="18"/>
        </w:numPr>
        <w:autoSpaceDE w:val="0"/>
        <w:autoSpaceDN w:val="0"/>
        <w:spacing w:before="124" w:line="240" w:lineRule="auto"/>
        <w:rPr>
          <w:rFonts w:ascii="Arial" w:hAnsi="Arial" w:cs="Arial"/>
          <w:sz w:val="20"/>
        </w:rPr>
      </w:pPr>
      <w:r w:rsidRPr="001F3ED6">
        <w:rPr>
          <w:rFonts w:ascii="Arial" w:hAnsi="Arial" w:cs="Arial"/>
          <w:sz w:val="20"/>
        </w:rPr>
        <w:t>The nature and cost of the accommodation</w:t>
      </w:r>
      <w:r>
        <w:rPr>
          <w:rFonts w:ascii="Arial" w:hAnsi="Arial" w:cs="Arial"/>
          <w:sz w:val="20"/>
        </w:rPr>
        <w:t>;</w:t>
      </w:r>
    </w:p>
    <w:p w14:paraId="22614267" w14:textId="77777777" w:rsidR="00F952F9" w:rsidRPr="001F3ED6" w:rsidRDefault="00F952F9" w:rsidP="00F952F9">
      <w:pPr>
        <w:pStyle w:val="ListParagraph"/>
        <w:widowControl w:val="0"/>
        <w:numPr>
          <w:ilvl w:val="0"/>
          <w:numId w:val="18"/>
        </w:numPr>
        <w:autoSpaceDE w:val="0"/>
        <w:autoSpaceDN w:val="0"/>
        <w:spacing w:before="124" w:line="240" w:lineRule="auto"/>
        <w:rPr>
          <w:rFonts w:ascii="Arial" w:hAnsi="Arial" w:cs="Arial"/>
          <w:sz w:val="20"/>
        </w:rPr>
      </w:pPr>
      <w:r w:rsidRPr="001F3ED6">
        <w:rPr>
          <w:rFonts w:ascii="Arial" w:hAnsi="Arial" w:cs="Arial"/>
          <w:sz w:val="20"/>
        </w:rPr>
        <w:t>The financial resources and size of the employer</w:t>
      </w:r>
      <w:r>
        <w:rPr>
          <w:rFonts w:ascii="Arial" w:hAnsi="Arial" w:cs="Arial"/>
          <w:sz w:val="20"/>
        </w:rPr>
        <w:t>;</w:t>
      </w:r>
    </w:p>
    <w:p w14:paraId="6CBA5B79" w14:textId="083D4043" w:rsidR="00F952F9" w:rsidRPr="00F952F9" w:rsidRDefault="00F952F9" w:rsidP="00F952F9">
      <w:pPr>
        <w:pStyle w:val="ListParagraph"/>
        <w:widowControl w:val="0"/>
        <w:numPr>
          <w:ilvl w:val="0"/>
          <w:numId w:val="18"/>
        </w:numPr>
        <w:autoSpaceDE w:val="0"/>
        <w:autoSpaceDN w:val="0"/>
        <w:spacing w:before="124" w:line="240" w:lineRule="auto"/>
        <w:rPr>
          <w:rFonts w:ascii="Arial" w:hAnsi="Arial" w:cs="Arial"/>
          <w:sz w:val="20"/>
        </w:rPr>
      </w:pPr>
      <w:r w:rsidRPr="001F3ED6">
        <w:rPr>
          <w:rFonts w:ascii="Arial" w:hAnsi="Arial" w:cs="Arial"/>
          <w:sz w:val="20"/>
        </w:rPr>
        <w:t>The type of operations conducted by the employer</w:t>
      </w:r>
    </w:p>
    <w:p w14:paraId="365F505E" w14:textId="019B0323" w:rsidR="00F952F9" w:rsidRDefault="00F952F9" w:rsidP="001B584B">
      <w:pPr>
        <w:pStyle w:val="Subtitle"/>
        <w:spacing w:line="300" w:lineRule="exact"/>
        <w:rPr>
          <w:rFonts w:cs="Arial"/>
          <w:color w:val="1D2C4C"/>
        </w:rPr>
      </w:pPr>
    </w:p>
    <w:sectPr w:rsidR="00F952F9" w:rsidSect="001B584B">
      <w:footerReference w:type="default" r:id="rId7"/>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8" w15:restartNumberingAfterBreak="0">
    <w:nsid w:val="363C5F8A"/>
    <w:multiLevelType w:val="hybridMultilevel"/>
    <w:tmpl w:val="32820BAC"/>
    <w:lvl w:ilvl="0" w:tplc="FA4A9D9E">
      <w:numFmt w:val="bullet"/>
      <w:lvlText w:val=""/>
      <w:lvlJc w:val="left"/>
      <w:pPr>
        <w:ind w:left="470" w:hanging="360"/>
      </w:pPr>
      <w:rPr>
        <w:rFonts w:ascii="Wingdings" w:hAnsi="Wingdings" w:cs="Wingdings" w:hint="default"/>
        <w:color w:val="1D2C4C"/>
        <w:w w:val="99"/>
        <w:sz w:val="20"/>
        <w:szCs w:val="20"/>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9"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3"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4" w15:restartNumberingAfterBreak="0">
    <w:nsid w:val="73887AB8"/>
    <w:multiLevelType w:val="hybridMultilevel"/>
    <w:tmpl w:val="A85A0F10"/>
    <w:lvl w:ilvl="0" w:tplc="3D345746">
      <w:numFmt w:val="bullet"/>
      <w:lvlText w:val=""/>
      <w:lvlJc w:val="left"/>
      <w:pPr>
        <w:ind w:left="530" w:hanging="420"/>
      </w:pPr>
      <w:rPr>
        <w:rFonts w:ascii="Wingdings" w:hAnsi="Wingdings" w:cs="Wingdings" w:hint="default"/>
        <w:color w:val="1D2C4C"/>
        <w:w w:val="99"/>
        <w:sz w:val="20"/>
        <w:szCs w:val="20"/>
      </w:rPr>
    </w:lvl>
    <w:lvl w:ilvl="1" w:tplc="E2488D14">
      <w:numFmt w:val="bullet"/>
      <w:lvlText w:val="•"/>
      <w:lvlJc w:val="left"/>
      <w:pPr>
        <w:ind w:left="1544" w:hanging="420"/>
      </w:pPr>
      <w:rPr>
        <w:rFonts w:hint="default"/>
      </w:rPr>
    </w:lvl>
    <w:lvl w:ilvl="2" w:tplc="D572F6A6">
      <w:numFmt w:val="bullet"/>
      <w:lvlText w:val="•"/>
      <w:lvlJc w:val="left"/>
      <w:pPr>
        <w:ind w:left="2548" w:hanging="420"/>
      </w:pPr>
      <w:rPr>
        <w:rFonts w:hint="default"/>
      </w:rPr>
    </w:lvl>
    <w:lvl w:ilvl="3" w:tplc="F3F838DA">
      <w:numFmt w:val="bullet"/>
      <w:lvlText w:val="•"/>
      <w:lvlJc w:val="left"/>
      <w:pPr>
        <w:ind w:left="3552" w:hanging="420"/>
      </w:pPr>
      <w:rPr>
        <w:rFonts w:hint="default"/>
      </w:rPr>
    </w:lvl>
    <w:lvl w:ilvl="4" w:tplc="6256FEC4">
      <w:numFmt w:val="bullet"/>
      <w:lvlText w:val="•"/>
      <w:lvlJc w:val="left"/>
      <w:pPr>
        <w:ind w:left="4556" w:hanging="420"/>
      </w:pPr>
      <w:rPr>
        <w:rFonts w:hint="default"/>
      </w:rPr>
    </w:lvl>
    <w:lvl w:ilvl="5" w:tplc="4F5ABB9A">
      <w:numFmt w:val="bullet"/>
      <w:lvlText w:val="•"/>
      <w:lvlJc w:val="left"/>
      <w:pPr>
        <w:ind w:left="5560" w:hanging="420"/>
      </w:pPr>
      <w:rPr>
        <w:rFonts w:hint="default"/>
      </w:rPr>
    </w:lvl>
    <w:lvl w:ilvl="6" w:tplc="7276AC26">
      <w:numFmt w:val="bullet"/>
      <w:lvlText w:val="•"/>
      <w:lvlJc w:val="left"/>
      <w:pPr>
        <w:ind w:left="6564" w:hanging="420"/>
      </w:pPr>
      <w:rPr>
        <w:rFonts w:hint="default"/>
      </w:rPr>
    </w:lvl>
    <w:lvl w:ilvl="7" w:tplc="C7CA4694">
      <w:numFmt w:val="bullet"/>
      <w:lvlText w:val="•"/>
      <w:lvlJc w:val="left"/>
      <w:pPr>
        <w:ind w:left="7568" w:hanging="420"/>
      </w:pPr>
      <w:rPr>
        <w:rFonts w:hint="default"/>
      </w:rPr>
    </w:lvl>
    <w:lvl w:ilvl="8" w:tplc="0BE00AA8">
      <w:numFmt w:val="bullet"/>
      <w:lvlText w:val="•"/>
      <w:lvlJc w:val="left"/>
      <w:pPr>
        <w:ind w:left="8572" w:hanging="420"/>
      </w:pPr>
      <w:rPr>
        <w:rFonts w:hint="default"/>
      </w:rPr>
    </w:lvl>
  </w:abstractNum>
  <w:abstractNum w:abstractNumId="15"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6"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num w:numId="1">
    <w:abstractNumId w:val="1"/>
  </w:num>
  <w:num w:numId="2">
    <w:abstractNumId w:val="2"/>
  </w:num>
  <w:num w:numId="3">
    <w:abstractNumId w:val="16"/>
  </w:num>
  <w:num w:numId="4">
    <w:abstractNumId w:val="12"/>
  </w:num>
  <w:num w:numId="5">
    <w:abstractNumId w:val="10"/>
  </w:num>
  <w:num w:numId="6">
    <w:abstractNumId w:val="17"/>
  </w:num>
  <w:num w:numId="7">
    <w:abstractNumId w:val="3"/>
  </w:num>
  <w:num w:numId="8">
    <w:abstractNumId w:val="13"/>
  </w:num>
  <w:num w:numId="9">
    <w:abstractNumId w:val="11"/>
  </w:num>
  <w:num w:numId="10">
    <w:abstractNumId w:val="4"/>
  </w:num>
  <w:num w:numId="11">
    <w:abstractNumId w:val="7"/>
  </w:num>
  <w:num w:numId="12">
    <w:abstractNumId w:val="15"/>
  </w:num>
  <w:num w:numId="13">
    <w:abstractNumId w:val="0"/>
  </w:num>
  <w:num w:numId="14">
    <w:abstractNumId w:val="5"/>
  </w:num>
  <w:num w:numId="15">
    <w:abstractNumId w:val="9"/>
  </w:num>
  <w:num w:numId="16">
    <w:abstractNumId w:val="6"/>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1B584B"/>
    <w:rsid w:val="002E4EE1"/>
    <w:rsid w:val="004D71C5"/>
    <w:rsid w:val="005F4233"/>
    <w:rsid w:val="00675F51"/>
    <w:rsid w:val="00E31BE3"/>
    <w:rsid w:val="00E402A8"/>
    <w:rsid w:val="00F9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52F9"/>
    <w:pPr>
      <w:widowControl w:val="0"/>
      <w:autoSpaceDE w:val="0"/>
      <w:autoSpaceDN w:val="0"/>
      <w:spacing w:line="240" w:lineRule="auto"/>
      <w:ind w:left="110"/>
      <w:outlineLvl w:val="0"/>
    </w:pPr>
    <w:rPr>
      <w:rFonts w:ascii="Avenir LT Std 55 Roman" w:eastAsia="Avenir LT Std 55 Roman" w:hAnsi="Avenir LT Std 55 Roman" w:cs="Avenir LT Std 55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1"/>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uiPriority w:val="9"/>
    <w:rsid w:val="00F952F9"/>
    <w:rPr>
      <w:rFonts w:ascii="Avenir LT Std 55 Roman" w:eastAsia="Avenir LT Std 55 Roman" w:hAnsi="Avenir LT Std 55 Roman" w:cs="Avenir LT Std 55 Roman"/>
      <w:b/>
      <w:bCs/>
      <w:sz w:val="20"/>
      <w:szCs w:val="20"/>
    </w:rPr>
  </w:style>
  <w:style w:type="paragraph" w:styleId="BodyText">
    <w:name w:val="Body Text"/>
    <w:basedOn w:val="Normal"/>
    <w:link w:val="BodyTextChar"/>
    <w:uiPriority w:val="1"/>
    <w:qFormat/>
    <w:rsid w:val="00F952F9"/>
    <w:pPr>
      <w:widowControl w:val="0"/>
      <w:autoSpaceDE w:val="0"/>
      <w:autoSpaceDN w:val="0"/>
      <w:spacing w:before="124" w:line="240" w:lineRule="auto"/>
    </w:pPr>
    <w:rPr>
      <w:rFonts w:ascii="Avenir LT Std 55 Roman" w:eastAsia="Avenir LT Std 55 Roman" w:hAnsi="Avenir LT Std 55 Roman" w:cs="Avenir LT Std 55 Roman"/>
      <w:sz w:val="20"/>
      <w:szCs w:val="20"/>
    </w:rPr>
  </w:style>
  <w:style w:type="character" w:customStyle="1" w:styleId="BodyTextChar">
    <w:name w:val="Body Text Char"/>
    <w:basedOn w:val="DefaultParagraphFont"/>
    <w:link w:val="BodyText"/>
    <w:uiPriority w:val="1"/>
    <w:rsid w:val="00F952F9"/>
    <w:rPr>
      <w:rFonts w:ascii="Avenir LT Std 55 Roman" w:eastAsia="Avenir LT Std 55 Roman" w:hAnsi="Avenir LT Std 55 Roman" w:cs="Avenir LT Std 55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VanDyke</cp:lastModifiedBy>
  <cp:revision>2</cp:revision>
  <cp:lastPrinted>2022-03-11T20:59:00Z</cp:lastPrinted>
  <dcterms:created xsi:type="dcterms:W3CDTF">2022-03-11T21:15:00Z</dcterms:created>
  <dcterms:modified xsi:type="dcterms:W3CDTF">2022-03-11T21:15:00Z</dcterms:modified>
</cp:coreProperties>
</file>