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D1C0B" w14:textId="57C88B7D" w:rsidR="00C356E2" w:rsidRDefault="00B51E24" w:rsidP="00C356E2">
      <w:pPr>
        <w:spacing w:line="240" w:lineRule="auto"/>
        <w:rPr>
          <w:rFonts w:eastAsia="DFKai-SB" w:cs="Arial"/>
          <w:b/>
          <w:color w:val="1D2C4C"/>
          <w:sz w:val="56"/>
          <w:szCs w:val="56"/>
        </w:rPr>
      </w:pPr>
      <w:bookmarkStart w:id="0" w:name="_Hlk190324254"/>
      <w:bookmarkEnd w:id="0"/>
      <w:r>
        <w:rPr>
          <w:rFonts w:eastAsia="DFKai-SB" w:cs="Arial"/>
          <w:b/>
          <w:color w:val="1D2C4C"/>
          <w:sz w:val="56"/>
          <w:szCs w:val="56"/>
        </w:rPr>
        <w:t>Predicting and Preventing Turnover</w:t>
      </w:r>
    </w:p>
    <w:p w14:paraId="554EB218" w14:textId="473F3FFF" w:rsidR="00B51E24" w:rsidRPr="006A3A23" w:rsidRDefault="00B51E24" w:rsidP="00C356E2">
      <w:pPr>
        <w:spacing w:line="240" w:lineRule="auto"/>
        <w:rPr>
          <w:rFonts w:eastAsia="DFKai-SB" w:cs="Arial"/>
          <w:b/>
          <w:bCs/>
          <w:color w:val="1D2C4C"/>
          <w:sz w:val="56"/>
          <w:szCs w:val="56"/>
        </w:rPr>
      </w:pPr>
      <w:r w:rsidRPr="006A3A23">
        <w:rPr>
          <w:rFonts w:cs="Arial"/>
          <w:b/>
          <w:bCs/>
          <w:i/>
          <w:iCs/>
          <w:color w:val="1D2C4C"/>
          <w:sz w:val="24"/>
          <w:szCs w:val="24"/>
        </w:rPr>
        <w:t>How The Predictive Index Helps You Retain Top Talent</w:t>
      </w:r>
    </w:p>
    <w:p w14:paraId="2CE7B854" w14:textId="3A0D4C97" w:rsidR="001B584B" w:rsidRPr="009F66A4" w:rsidRDefault="001B584B" w:rsidP="001B584B">
      <w:pPr>
        <w:spacing w:line="240" w:lineRule="auto"/>
        <w:rPr>
          <w:b/>
          <w:bCs/>
          <w:color w:val="002060"/>
        </w:rPr>
      </w:pPr>
    </w:p>
    <w:p w14:paraId="76FFCD0B" w14:textId="77777777" w:rsidR="00B51E24" w:rsidRPr="00B51E24" w:rsidRDefault="00B51E24" w:rsidP="00B51E24">
      <w:pPr>
        <w:rPr>
          <w:rFonts w:cs="Arial"/>
        </w:rPr>
      </w:pPr>
      <w:r w:rsidRPr="00B51E24">
        <w:rPr>
          <w:rFonts w:cs="Arial"/>
        </w:rPr>
        <w:t>Employee turnover is a challenge faced by organizations across industries, often resulting in significant financial costs, loss of institutional knowledge, and declining morale among remaining employees. While some turnover is natural, excessive turnover can signal deeper organizational issues. Studies indicate that a significant portion of turnover is preventable</w:t>
      </w:r>
      <w:r w:rsidRPr="00B51E24">
        <w:rPr>
          <w:rStyle w:val="FootnoteReference"/>
          <w:rFonts w:cs="Arial"/>
        </w:rPr>
        <w:footnoteReference w:id="1"/>
      </w:r>
      <w:r w:rsidRPr="00B51E24">
        <w:rPr>
          <w:rFonts w:cs="Arial"/>
        </w:rPr>
        <w:t>, highlighting the need for proactive strategies to identify and address underlying causes.</w:t>
      </w:r>
    </w:p>
    <w:p w14:paraId="4E6A0B0B" w14:textId="77777777" w:rsidR="00B51E24" w:rsidRPr="00B51E24" w:rsidRDefault="00B51E24" w:rsidP="00B51E24">
      <w:pPr>
        <w:rPr>
          <w:rFonts w:cs="Arial"/>
        </w:rPr>
      </w:pPr>
    </w:p>
    <w:p w14:paraId="55367C23" w14:textId="77777777" w:rsidR="00B51E24" w:rsidRPr="00B51E24" w:rsidRDefault="00B51E24" w:rsidP="00B51E24">
      <w:pPr>
        <w:rPr>
          <w:rFonts w:cs="Arial"/>
        </w:rPr>
      </w:pPr>
      <w:r w:rsidRPr="00B51E24">
        <w:rPr>
          <w:rFonts w:cs="Arial"/>
        </w:rPr>
        <w:t xml:space="preserve">One powerful tool in predicting and preventing turnover is </w:t>
      </w:r>
      <w:hyperlink r:id="rId8" w:history="1">
        <w:r w:rsidRPr="00B51E24">
          <w:rPr>
            <w:rStyle w:val="Hyperlink"/>
            <w:rFonts w:cs="Arial"/>
            <w:b/>
            <w:bCs/>
          </w:rPr>
          <w:t>The Predictive Index (PI)</w:t>
        </w:r>
        <w:r w:rsidRPr="00B51E24">
          <w:rPr>
            <w:rStyle w:val="Hyperlink"/>
            <w:rFonts w:cs="Arial"/>
          </w:rPr>
          <w:t>,</w:t>
        </w:r>
      </w:hyperlink>
      <w:r w:rsidRPr="00B51E24">
        <w:rPr>
          <w:rFonts w:cs="Arial"/>
        </w:rPr>
        <w:t xml:space="preserve"> a science-based approach that enables organizations to leverage behavioral and cognitive data to make informed talent decisions. By utilizing The Predictive Index, organizations can gain insights into employee motivations, optimize job fit, and create work environments that foster long-term retention.</w:t>
      </w:r>
    </w:p>
    <w:p w14:paraId="26452E12" w14:textId="77777777" w:rsidR="00B51E24" w:rsidRPr="00B51E24" w:rsidRDefault="00B51E24" w:rsidP="00B51E24">
      <w:pPr>
        <w:rPr>
          <w:rFonts w:cs="Arial"/>
        </w:rPr>
      </w:pPr>
    </w:p>
    <w:p w14:paraId="47053CD5" w14:textId="77777777" w:rsidR="00B51E24" w:rsidRPr="00B51E24" w:rsidRDefault="00B51E24" w:rsidP="00B51E24">
      <w:pPr>
        <w:rPr>
          <w:rFonts w:cs="Arial"/>
        </w:rPr>
      </w:pPr>
      <w:r w:rsidRPr="00B51E24">
        <w:rPr>
          <w:rFonts w:cs="Arial"/>
        </w:rPr>
        <w:t>This white paper explores:</w:t>
      </w:r>
    </w:p>
    <w:p w14:paraId="2EFB9E7B" w14:textId="77777777" w:rsidR="00B51E24" w:rsidRPr="00B51E24" w:rsidRDefault="00B51E24" w:rsidP="00B51E24">
      <w:pPr>
        <w:numPr>
          <w:ilvl w:val="0"/>
          <w:numId w:val="22"/>
        </w:numPr>
        <w:rPr>
          <w:rFonts w:cs="Arial"/>
        </w:rPr>
      </w:pPr>
      <w:r w:rsidRPr="00B51E24">
        <w:rPr>
          <w:rFonts w:cs="Arial"/>
        </w:rPr>
        <w:t>The definition and measurement of turnover</w:t>
      </w:r>
    </w:p>
    <w:p w14:paraId="05FBAC21" w14:textId="77777777" w:rsidR="00B51E24" w:rsidRPr="00B51E24" w:rsidRDefault="00B51E24" w:rsidP="00B51E24">
      <w:pPr>
        <w:numPr>
          <w:ilvl w:val="0"/>
          <w:numId w:val="22"/>
        </w:numPr>
        <w:rPr>
          <w:rFonts w:cs="Arial"/>
        </w:rPr>
      </w:pPr>
      <w:r w:rsidRPr="00B51E24">
        <w:rPr>
          <w:rFonts w:cs="Arial"/>
        </w:rPr>
        <w:t>Common causes of high turnover rates</w:t>
      </w:r>
    </w:p>
    <w:p w14:paraId="2307207E" w14:textId="77777777" w:rsidR="00B51E24" w:rsidRPr="00B51E24" w:rsidRDefault="00B51E24" w:rsidP="00B51E24">
      <w:pPr>
        <w:numPr>
          <w:ilvl w:val="0"/>
          <w:numId w:val="22"/>
        </w:numPr>
        <w:rPr>
          <w:rFonts w:cs="Arial"/>
        </w:rPr>
      </w:pPr>
      <w:r w:rsidRPr="00B51E24">
        <w:rPr>
          <w:rFonts w:cs="Arial"/>
        </w:rPr>
        <w:t>The impact of turnover on organizations</w:t>
      </w:r>
    </w:p>
    <w:p w14:paraId="63764595" w14:textId="77777777" w:rsidR="00B51E24" w:rsidRPr="00B51E24" w:rsidRDefault="00B51E24" w:rsidP="00B51E24">
      <w:pPr>
        <w:numPr>
          <w:ilvl w:val="0"/>
          <w:numId w:val="22"/>
        </w:numPr>
        <w:rPr>
          <w:rFonts w:cs="Arial"/>
        </w:rPr>
      </w:pPr>
      <w:r w:rsidRPr="00B51E24">
        <w:rPr>
          <w:rFonts w:cs="Arial"/>
        </w:rPr>
        <w:t>Strategies to reduce turnover and improve retention</w:t>
      </w:r>
    </w:p>
    <w:p w14:paraId="4B584DBA" w14:textId="77777777" w:rsidR="00B51E24" w:rsidRPr="00B51E24" w:rsidRDefault="00B51E24" w:rsidP="00B51E24">
      <w:pPr>
        <w:numPr>
          <w:ilvl w:val="0"/>
          <w:numId w:val="22"/>
        </w:numPr>
        <w:rPr>
          <w:rFonts w:cs="Arial"/>
        </w:rPr>
      </w:pPr>
      <w:r w:rsidRPr="00B51E24">
        <w:rPr>
          <w:rFonts w:cs="Arial"/>
        </w:rPr>
        <w:t>How The Predictive Index can help organizations build engaged, high-performing teams</w:t>
      </w:r>
    </w:p>
    <w:p w14:paraId="15AAC84B" w14:textId="77777777" w:rsidR="00B51E24" w:rsidRPr="00B51E24" w:rsidRDefault="00B51E24" w:rsidP="00B51E24">
      <w:pPr>
        <w:rPr>
          <w:rFonts w:cs="Arial"/>
        </w:rPr>
      </w:pPr>
    </w:p>
    <w:p w14:paraId="53D2920D" w14:textId="77777777" w:rsidR="00B51E24" w:rsidRPr="00B51E24" w:rsidRDefault="00B51E24" w:rsidP="00B51E24">
      <w:pPr>
        <w:rPr>
          <w:rFonts w:cs="Arial"/>
        </w:rPr>
      </w:pPr>
      <w:r w:rsidRPr="00B51E24">
        <w:rPr>
          <w:rFonts w:cs="Arial"/>
        </w:rPr>
        <w:t>With data-driven insights, businesses can transition from reacting to turnover to predicting and preventing it, ensuring long-term stability and workforce satisfaction.</w:t>
      </w:r>
    </w:p>
    <w:p w14:paraId="0573C290" w14:textId="77777777" w:rsidR="00B51E24" w:rsidRDefault="00B51E24" w:rsidP="002948E7">
      <w:pPr>
        <w:rPr>
          <w:rFonts w:cs="Arial"/>
        </w:rPr>
      </w:pPr>
    </w:p>
    <w:p w14:paraId="04FF27AA" w14:textId="77777777" w:rsidR="00B51E24" w:rsidRPr="000169D0" w:rsidRDefault="00B51E24" w:rsidP="00B51E24">
      <w:pPr>
        <w:rPr>
          <w:rFonts w:cs="Arial"/>
          <w:b/>
          <w:bCs/>
          <w:sz w:val="28"/>
          <w:szCs w:val="28"/>
        </w:rPr>
      </w:pPr>
      <w:r w:rsidRPr="000169D0">
        <w:rPr>
          <w:rFonts w:cs="Arial"/>
          <w:b/>
          <w:bCs/>
          <w:sz w:val="28"/>
          <w:szCs w:val="28"/>
        </w:rPr>
        <w:t>Understanding Turnover: Definition and Measurement</w:t>
      </w:r>
    </w:p>
    <w:p w14:paraId="4BA15769" w14:textId="77777777" w:rsidR="00B51E24" w:rsidRDefault="00B51E24" w:rsidP="00B51E24">
      <w:pPr>
        <w:rPr>
          <w:rFonts w:cs="Arial"/>
          <w:b/>
          <w:bCs/>
          <w:sz w:val="24"/>
          <w:szCs w:val="24"/>
        </w:rPr>
      </w:pPr>
    </w:p>
    <w:p w14:paraId="07A328E5" w14:textId="77777777" w:rsidR="00B51E24" w:rsidRPr="00B51E24" w:rsidRDefault="00B51E24" w:rsidP="00B51E24">
      <w:pPr>
        <w:rPr>
          <w:rFonts w:cs="Arial"/>
          <w:b/>
          <w:bCs/>
        </w:rPr>
      </w:pPr>
      <w:r w:rsidRPr="00B51E24">
        <w:rPr>
          <w:rFonts w:cs="Arial"/>
          <w:b/>
          <w:bCs/>
        </w:rPr>
        <w:t>What is Employee Turnover?</w:t>
      </w:r>
    </w:p>
    <w:p w14:paraId="19649330" w14:textId="77777777" w:rsidR="00B51E24" w:rsidRPr="00B51E24" w:rsidRDefault="00B51E24" w:rsidP="00B51E24">
      <w:pPr>
        <w:rPr>
          <w:rFonts w:cs="Arial"/>
          <w:b/>
          <w:bCs/>
        </w:rPr>
      </w:pPr>
    </w:p>
    <w:p w14:paraId="426F628B" w14:textId="77777777" w:rsidR="00B51E24" w:rsidRPr="00B51E24" w:rsidRDefault="00B51E24" w:rsidP="00B51E24">
      <w:pPr>
        <w:rPr>
          <w:rFonts w:cs="Arial"/>
        </w:rPr>
      </w:pPr>
      <w:r w:rsidRPr="00B51E24">
        <w:rPr>
          <w:rFonts w:cs="Arial"/>
        </w:rPr>
        <w:t>Employee turnover refers to the rate at which employees leave an organization within a given period. It can be categorized into:</w:t>
      </w:r>
    </w:p>
    <w:p w14:paraId="46243AA0" w14:textId="77777777" w:rsidR="00B51E24" w:rsidRPr="00B51E24" w:rsidRDefault="00B51E24" w:rsidP="00B51E24">
      <w:pPr>
        <w:numPr>
          <w:ilvl w:val="0"/>
          <w:numId w:val="32"/>
        </w:numPr>
        <w:rPr>
          <w:rFonts w:cs="Arial"/>
        </w:rPr>
      </w:pPr>
      <w:r w:rsidRPr="00B51E24">
        <w:rPr>
          <w:rFonts w:cs="Arial"/>
          <w:b/>
          <w:bCs/>
        </w:rPr>
        <w:t>Voluntary turnover</w:t>
      </w:r>
      <w:r w:rsidRPr="00B51E24">
        <w:rPr>
          <w:rFonts w:cs="Arial"/>
        </w:rPr>
        <w:t>: Employees choosing to leave for better opportunities, dissatisfaction, or personal reasons.</w:t>
      </w:r>
    </w:p>
    <w:p w14:paraId="76E9D494" w14:textId="77777777" w:rsidR="00B51E24" w:rsidRPr="00B51E24" w:rsidRDefault="00B51E24" w:rsidP="00B51E24">
      <w:pPr>
        <w:numPr>
          <w:ilvl w:val="0"/>
          <w:numId w:val="32"/>
        </w:numPr>
        <w:rPr>
          <w:rFonts w:cs="Arial"/>
        </w:rPr>
      </w:pPr>
      <w:r w:rsidRPr="00B51E24">
        <w:rPr>
          <w:rFonts w:cs="Arial"/>
          <w:b/>
          <w:bCs/>
        </w:rPr>
        <w:t>Involuntary turnover</w:t>
      </w:r>
      <w:r w:rsidRPr="00B51E24">
        <w:rPr>
          <w:rFonts w:cs="Arial"/>
        </w:rPr>
        <w:t>: Employees being let go due to layoffs, poor performance, or organization restructuring.</w:t>
      </w:r>
    </w:p>
    <w:p w14:paraId="686280D0" w14:textId="77777777" w:rsidR="00E47E44" w:rsidRDefault="00E47E44" w:rsidP="00B51E24">
      <w:pPr>
        <w:rPr>
          <w:rFonts w:cs="Arial"/>
        </w:rPr>
      </w:pPr>
    </w:p>
    <w:p w14:paraId="038D2469" w14:textId="48B20520" w:rsidR="00B51E24" w:rsidRPr="00B51E24" w:rsidRDefault="00B51E24" w:rsidP="00B51E24">
      <w:pPr>
        <w:rPr>
          <w:rFonts w:cs="Arial"/>
        </w:rPr>
      </w:pPr>
      <w:r w:rsidRPr="00B51E24">
        <w:rPr>
          <w:rFonts w:cs="Arial"/>
        </w:rPr>
        <w:t>Tracking turnover rates is crucial for assessing organizational health and identifying retention challenges before they escalate.</w:t>
      </w:r>
    </w:p>
    <w:p w14:paraId="58BA8052" w14:textId="764C5298" w:rsidR="00B51E24" w:rsidRPr="000169D0" w:rsidRDefault="00B51E24" w:rsidP="00B51E24">
      <w:pPr>
        <w:rPr>
          <w:rFonts w:cs="Arial"/>
          <w:sz w:val="24"/>
          <w:szCs w:val="24"/>
        </w:rPr>
      </w:pPr>
    </w:p>
    <w:p w14:paraId="05D9C221" w14:textId="4DB0FCB3" w:rsidR="00B51E24" w:rsidRPr="00C70DC5" w:rsidRDefault="00B51E24" w:rsidP="00B51E24">
      <w:pPr>
        <w:rPr>
          <w:rFonts w:cs="Arial"/>
          <w:b/>
          <w:bCs/>
        </w:rPr>
      </w:pPr>
      <w:r w:rsidRPr="00C70DC5">
        <w:rPr>
          <w:rFonts w:cs="Arial"/>
          <w:b/>
          <w:bCs/>
        </w:rPr>
        <w:t>Calculating Turnover Rate</w:t>
      </w:r>
    </w:p>
    <w:p w14:paraId="36CF588F" w14:textId="50EDA972" w:rsidR="00B51E24" w:rsidRPr="006A3A23" w:rsidRDefault="00B51E24" w:rsidP="006A3A23">
      <w:pPr>
        <w:spacing w:line="240" w:lineRule="auto"/>
        <w:rPr>
          <w:rFonts w:cs="Arial"/>
        </w:rPr>
      </w:pPr>
    </w:p>
    <w:p w14:paraId="0DF91487" w14:textId="707B7989" w:rsidR="00B51E24" w:rsidRPr="00E47E44" w:rsidRDefault="005D1CB2" w:rsidP="00B51E24">
      <w:pPr>
        <w:rPr>
          <w:rFonts w:cs="Arial"/>
        </w:rPr>
      </w:pPr>
      <w:r>
        <w:rPr>
          <w:noProof/>
          <w:sz w:val="52"/>
          <w:szCs w:val="52"/>
        </w:rPr>
        <mc:AlternateContent>
          <mc:Choice Requires="wps">
            <w:drawing>
              <wp:anchor distT="0" distB="0" distL="114300" distR="114300" simplePos="0" relativeHeight="251659264" behindDoc="0" locked="0" layoutInCell="1" allowOverlap="1" wp14:anchorId="0B93C7E8" wp14:editId="0A3B8B74">
                <wp:simplePos x="0" y="0"/>
                <wp:positionH relativeFrom="column">
                  <wp:posOffset>1521460</wp:posOffset>
                </wp:positionH>
                <wp:positionV relativeFrom="paragraph">
                  <wp:posOffset>150495</wp:posOffset>
                </wp:positionV>
                <wp:extent cx="2800350" cy="546100"/>
                <wp:effectExtent l="0" t="0" r="0" b="6350"/>
                <wp:wrapNone/>
                <wp:docPr id="85294413" name="Text Box 1"/>
                <wp:cNvGraphicFramePr/>
                <a:graphic xmlns:a="http://schemas.openxmlformats.org/drawingml/2006/main">
                  <a:graphicData uri="http://schemas.microsoft.com/office/word/2010/wordprocessingShape">
                    <wps:wsp>
                      <wps:cNvSpPr txBox="1"/>
                      <wps:spPr>
                        <a:xfrm>
                          <a:off x="0" y="0"/>
                          <a:ext cx="2800350" cy="546100"/>
                        </a:xfrm>
                        <a:prstGeom prst="rect">
                          <a:avLst/>
                        </a:prstGeom>
                        <a:solidFill>
                          <a:schemeClr val="lt1"/>
                        </a:solidFill>
                        <a:ln w="6350">
                          <a:noFill/>
                        </a:ln>
                      </wps:spPr>
                      <wps:txbx>
                        <w:txbxContent>
                          <w:p w14:paraId="526D65DA" w14:textId="77777777" w:rsidR="00B51E24" w:rsidRPr="00456C81" w:rsidRDefault="00B51E24" w:rsidP="00B51E24">
                            <w:pPr>
                              <w:jc w:val="center"/>
                              <w:rPr>
                                <w:sz w:val="18"/>
                                <w:szCs w:val="18"/>
                              </w:rPr>
                            </w:pPr>
                            <w:r w:rsidRPr="00456C81">
                              <w:rPr>
                                <w:sz w:val="18"/>
                                <w:szCs w:val="18"/>
                              </w:rPr>
                              <w:t>Number of Departures in a Period</w:t>
                            </w:r>
                          </w:p>
                          <w:p w14:paraId="49E949D1" w14:textId="77777777" w:rsidR="00B51E24" w:rsidRPr="00456C81" w:rsidRDefault="00B51E24" w:rsidP="00B51E24">
                            <w:pPr>
                              <w:jc w:val="center"/>
                              <w:rPr>
                                <w:sz w:val="18"/>
                                <w:szCs w:val="18"/>
                              </w:rPr>
                            </w:pPr>
                            <w:r w:rsidRPr="00456C81">
                              <w:rPr>
                                <w:sz w:val="18"/>
                                <w:szCs w:val="18"/>
                              </w:rPr>
                              <w:t>Average Number of Employees in the Same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3C7E8" id="_x0000_t202" coordsize="21600,21600" o:spt="202" path="m,l,21600r21600,l21600,xe">
                <v:stroke joinstyle="miter"/>
                <v:path gradientshapeok="t" o:connecttype="rect"/>
              </v:shapetype>
              <v:shape id="Text Box 1" o:spid="_x0000_s1026" type="#_x0000_t202" style="position:absolute;margin-left:119.8pt;margin-top:11.85pt;width:220.5pt;height: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jSjKw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uzT9OEUTR9t0MsvSiGtyfW2s818FNCQIBbVIS0SL&#10;HTfOY0Z0PbuEZA5UXa5rpaISRkGslCVHhiQqH2vEF795KU3ags5CGeGRhvC8j6w0Jrj2FCTf7bqh&#10;0R2UJ+zfQj8azvB1jUVumPPPzOIsYF843/4JD6kAk8AgUVKB/fm3++CPFKGVkhZnq6Dux4FZQYn6&#10;ppG8z9lkEoYxKpPppzEq9tayu7XoQ7MC7DzDTTI8isHfq7MoLTSvuAbLkBVNTHPMXVB/Fle+n3hc&#10;Iy6Wy+iE42eY3+it4SF0AC1Q8NK9MmsGnjwy/AjnKWT5G7p63x7u5cGDrCOXAeAe1QF3HN1I8bBm&#10;YTdu9eh1/RksfgEAAP//AwBQSwMEFAAGAAgAAAAhAJKZwnfgAAAACgEAAA8AAABkcnMvZG93bnJl&#10;di54bWxMj01Pg0AQhu8m/ofNmHgxdrFEaJGlMcaPxJvF1njbsiMQ2VnCbgH/vdOT3ubjyTvP5JvZ&#10;dmLEwbeOFNwsIhBIlTMt1Qrey6frFQgfNBndOUIFP+hhU5yf5TozbqI3HLehFhxCPtMKmhD6TEpf&#10;NWi1X7geiXdfbrA6cDvU0gx64nDbyWUUJdLqlvhCo3t8aLD63h6tgs+r+uPVz8+7Kb6N+8eXsUz3&#10;plTq8mK+vwMRcA5/MJz0WR0Kdjq4IxkvOgXLeJ0weipSEAwkq4gHByajdQqyyOX/F4pfAAAA//8D&#10;AFBLAQItABQABgAIAAAAIQC2gziS/gAAAOEBAAATAAAAAAAAAAAAAAAAAAAAAABbQ29udGVudF9U&#10;eXBlc10ueG1sUEsBAi0AFAAGAAgAAAAhADj9If/WAAAAlAEAAAsAAAAAAAAAAAAAAAAALwEAAF9y&#10;ZWxzLy5yZWxzUEsBAi0AFAAGAAgAAAAhAARONKMrAgAAVAQAAA4AAAAAAAAAAAAAAAAALgIAAGRy&#10;cy9lMm9Eb2MueG1sUEsBAi0AFAAGAAgAAAAhAJKZwnfgAAAACgEAAA8AAAAAAAAAAAAAAAAAhQQA&#10;AGRycy9kb3ducmV2LnhtbFBLBQYAAAAABAAEAPMAAACSBQAAAAA=&#10;" fillcolor="white [3201]" stroked="f" strokeweight=".5pt">
                <v:textbox>
                  <w:txbxContent>
                    <w:p w14:paraId="526D65DA" w14:textId="77777777" w:rsidR="00B51E24" w:rsidRPr="00456C81" w:rsidRDefault="00B51E24" w:rsidP="00B51E24">
                      <w:pPr>
                        <w:jc w:val="center"/>
                        <w:rPr>
                          <w:sz w:val="18"/>
                          <w:szCs w:val="18"/>
                        </w:rPr>
                      </w:pPr>
                      <w:r w:rsidRPr="00456C81">
                        <w:rPr>
                          <w:sz w:val="18"/>
                          <w:szCs w:val="18"/>
                        </w:rPr>
                        <w:t>Number of Departures in a Period</w:t>
                      </w:r>
                    </w:p>
                    <w:p w14:paraId="49E949D1" w14:textId="77777777" w:rsidR="00B51E24" w:rsidRPr="00456C81" w:rsidRDefault="00B51E24" w:rsidP="00B51E24">
                      <w:pPr>
                        <w:jc w:val="center"/>
                        <w:rPr>
                          <w:sz w:val="18"/>
                          <w:szCs w:val="18"/>
                        </w:rPr>
                      </w:pPr>
                      <w:r w:rsidRPr="00456C81">
                        <w:rPr>
                          <w:sz w:val="18"/>
                          <w:szCs w:val="18"/>
                        </w:rPr>
                        <w:t>Average Number of Employees in the Same Period</w:t>
                      </w:r>
                    </w:p>
                  </w:txbxContent>
                </v:textbox>
              </v:shape>
            </w:pict>
          </mc:Fallback>
        </mc:AlternateContent>
      </w:r>
      <w:r w:rsidR="00B51E24" w:rsidRPr="00E47E44">
        <w:rPr>
          <w:rFonts w:cs="Arial"/>
        </w:rPr>
        <w:t>The standard formula for calculating turnover is:</w:t>
      </w:r>
    </w:p>
    <w:p w14:paraId="4128D213" w14:textId="3845E752" w:rsidR="00B51E24" w:rsidRDefault="00B51E24" w:rsidP="00B51E24">
      <w:pPr>
        <w:spacing w:line="240" w:lineRule="auto"/>
        <w:rPr>
          <w:sz w:val="52"/>
          <w:szCs w:val="52"/>
        </w:rPr>
      </w:pPr>
      <w:r>
        <w:rPr>
          <w:noProof/>
          <w:sz w:val="52"/>
          <w:szCs w:val="52"/>
        </w:rPr>
        <mc:AlternateContent>
          <mc:Choice Requires="wps">
            <w:drawing>
              <wp:anchor distT="0" distB="0" distL="114300" distR="114300" simplePos="0" relativeHeight="251660288" behindDoc="0" locked="0" layoutInCell="1" allowOverlap="1" wp14:anchorId="3FF52476" wp14:editId="5EBB45B8">
                <wp:simplePos x="0" y="0"/>
                <wp:positionH relativeFrom="column">
                  <wp:posOffset>1568450</wp:posOffset>
                </wp:positionH>
                <wp:positionV relativeFrom="paragraph">
                  <wp:posOffset>203200</wp:posOffset>
                </wp:positionV>
                <wp:extent cx="2647950" cy="0"/>
                <wp:effectExtent l="0" t="0" r="0" b="0"/>
                <wp:wrapNone/>
                <wp:docPr id="1287148623" name="Straight Connector 2"/>
                <wp:cNvGraphicFramePr/>
                <a:graphic xmlns:a="http://schemas.openxmlformats.org/drawingml/2006/main">
                  <a:graphicData uri="http://schemas.microsoft.com/office/word/2010/wordprocessingShape">
                    <wps:wsp>
                      <wps:cNvCnPr/>
                      <wps:spPr>
                        <a:xfrm>
                          <a:off x="0" y="0"/>
                          <a:ext cx="264795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E842CD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3.5pt,16pt" to="33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ZeonAEAAIgDAAAOAAAAZHJzL2Uyb0RvYy54bWysU01PGzEQvSPxHyzfyW4ChbLKhgOIXipA&#10;0P4A4x1nrdoey3azm3/P2Ek2qK04oF68/njvzbyZ2eXNaA3bQIgaXcvns5ozcBI77dYt//nj/uwr&#10;ZzEJ1wmDDlq+hchvVqcny8E3sMAeTQeBkYiLzeBb3qfkm6qKsgcr4gw9OHpUGKxIdAzrqgtiIHVr&#10;qkVdX1YDhs4HlBAj3d7tHvmq6CsFMj0qFSEx03LKLZU1lPU1r9VqKZp1EL7Xcp+G+EQWVmhHQSep&#10;O5EE+x30X1JWy4ARVZpJtBUqpSUUD+RmXv/h5qUXHooXKk70U5ni/5OVD5tb9xSoDIOPTfRPIbsY&#10;VbD5S/mxsRRrOxULxsQkXS4uL66uv1BN5eGtOhJ9iOkboGV503KjXfYhGrH5HhMFI+gBQodj6LJL&#10;WwMZbNwzKKY7CnZe2GUq4NYEthHUz+7XPPePtAoyU5Q2ZiLVH5P22EyDMikTcfExcUKXiOjSRLTa&#10;YfgXOY2HVNUOf3C985ptv2K3LY0o5aB2F2f70czz9P5c6McfaPUGAAD//wMAUEsDBBQABgAIAAAA&#10;IQAEvL/j3gAAAAkBAAAPAAAAZHJzL2Rvd25yZXYueG1sTI9PS8NAEMXvgt9hGcGL2I0xSUvMpojg&#10;IYIFW+l5mt0m0exsyG7T+O0d8aCn+fd483vFera9mMzoO0cK7hYRCEO10x01Ct53z7crED4gaewd&#10;GQVfxsO6vLwoMNfuTG9m2oZGsAn5HBW0IQy5lL5ujUW/cIMhvh3daDHwODZSj3hmc9vLOIoyabEj&#10;/tDiYJ5aU39uT1bBR7WvmvRm2R03SfqCuyl9palS6vpqfnwAEcwc/sTwg8/oUDLTwZ1Ie9EriJMl&#10;ZwkK7mOuLMiyhJvD70KWhfyfoPwGAAD//wMAUEsBAi0AFAAGAAgAAAAhALaDOJL+AAAA4QEAABMA&#10;AAAAAAAAAAAAAAAAAAAAAFtDb250ZW50X1R5cGVzXS54bWxQSwECLQAUAAYACAAAACEAOP0h/9YA&#10;AACUAQAACwAAAAAAAAAAAAAAAAAvAQAAX3JlbHMvLnJlbHNQSwECLQAUAAYACAAAACEApcmXqJwB&#10;AACIAwAADgAAAAAAAAAAAAAAAAAuAgAAZHJzL2Uyb0RvYy54bWxQSwECLQAUAAYACAAAACEABLy/&#10;494AAAAJAQAADwAAAAAAAAAAAAAAAAD2AwAAZHJzL2Rvd25yZXYueG1sUEsFBgAAAAAEAAQA8wAA&#10;AAEFAAAAAA==&#10;" strokecolor="black [3200]" strokeweight="1.5pt">
                <v:stroke joinstyle="miter"/>
              </v:line>
            </w:pict>
          </mc:Fallback>
        </mc:AlternateContent>
      </w:r>
      <w:r w:rsidRPr="000169D0">
        <w:rPr>
          <w:rFonts w:cs="Arial"/>
          <w:sz w:val="24"/>
          <w:szCs w:val="24"/>
        </w:rPr>
        <w:t xml:space="preserve">        </w:t>
      </w:r>
      <w:r>
        <w:t xml:space="preserve">Turnover Rate = </w:t>
      </w:r>
      <w:r w:rsidRPr="00456C81">
        <w:rPr>
          <w:sz w:val="52"/>
          <w:szCs w:val="52"/>
        </w:rPr>
        <w:t>(</w:t>
      </w:r>
      <w:r>
        <w:rPr>
          <w:sz w:val="52"/>
          <w:szCs w:val="52"/>
        </w:rPr>
        <w:t xml:space="preserve">         </w:t>
      </w:r>
      <w:r>
        <w:rPr>
          <w:sz w:val="52"/>
          <w:szCs w:val="52"/>
        </w:rPr>
        <w:tab/>
      </w:r>
      <w:r>
        <w:rPr>
          <w:sz w:val="52"/>
          <w:szCs w:val="52"/>
        </w:rPr>
        <w:tab/>
      </w:r>
      <w:r>
        <w:rPr>
          <w:sz w:val="52"/>
          <w:szCs w:val="52"/>
        </w:rPr>
        <w:tab/>
      </w:r>
      <w:r>
        <w:rPr>
          <w:sz w:val="52"/>
          <w:szCs w:val="52"/>
        </w:rPr>
        <w:t xml:space="preserve">      </w:t>
      </w:r>
      <w:r w:rsidR="00E47E44">
        <w:rPr>
          <w:sz w:val="52"/>
          <w:szCs w:val="52"/>
        </w:rPr>
        <w:t xml:space="preserve"> </w:t>
      </w:r>
      <w:r>
        <w:rPr>
          <w:sz w:val="52"/>
          <w:szCs w:val="52"/>
        </w:rPr>
        <w:t xml:space="preserve">) </w:t>
      </w:r>
      <w:r w:rsidRPr="00456C81">
        <w:t>x 100</w:t>
      </w:r>
      <w:r>
        <w:rPr>
          <w:sz w:val="52"/>
          <w:szCs w:val="52"/>
        </w:rPr>
        <w:t xml:space="preserve">   </w:t>
      </w:r>
    </w:p>
    <w:p w14:paraId="2349B846" w14:textId="14E8E792" w:rsidR="00B51E24" w:rsidRDefault="00B51E24" w:rsidP="00B51E24">
      <w:pPr>
        <w:rPr>
          <w:rFonts w:cs="Arial"/>
        </w:rPr>
      </w:pPr>
      <w:r w:rsidRPr="00E47E44">
        <w:rPr>
          <w:rFonts w:cs="Arial"/>
        </w:rPr>
        <w:lastRenderedPageBreak/>
        <w:t xml:space="preserve">An organization with </w:t>
      </w:r>
      <w:r w:rsidRPr="00E47E44">
        <w:rPr>
          <w:rFonts w:cs="Arial"/>
          <w:b/>
          <w:bCs/>
        </w:rPr>
        <w:t>10 departures in a month</w:t>
      </w:r>
      <w:r w:rsidRPr="00E47E44">
        <w:rPr>
          <w:rFonts w:cs="Arial"/>
        </w:rPr>
        <w:t xml:space="preserve"> and an </w:t>
      </w:r>
      <w:r w:rsidRPr="00E47E44">
        <w:rPr>
          <w:rFonts w:cs="Arial"/>
          <w:b/>
          <w:bCs/>
        </w:rPr>
        <w:t>average workforce of 200</w:t>
      </w:r>
      <w:r w:rsidRPr="00E47E44">
        <w:rPr>
          <w:rFonts w:cs="Arial"/>
        </w:rPr>
        <w:t xml:space="preserve"> would have a </w:t>
      </w:r>
      <w:r w:rsidRPr="00E47E44">
        <w:rPr>
          <w:rFonts w:cs="Arial"/>
          <w:b/>
          <w:bCs/>
        </w:rPr>
        <w:t>5% monthly turnover rate</w:t>
      </w:r>
      <w:r w:rsidRPr="00E47E44">
        <w:rPr>
          <w:rFonts w:cs="Arial"/>
        </w:rPr>
        <w:t>.</w:t>
      </w:r>
    </w:p>
    <w:p w14:paraId="6F9FF1CC" w14:textId="77777777" w:rsidR="005D1CB2" w:rsidRPr="00E47E44" w:rsidRDefault="005D1CB2" w:rsidP="00B51E24">
      <w:pPr>
        <w:rPr>
          <w:rFonts w:cs="Arial"/>
        </w:rPr>
      </w:pPr>
    </w:p>
    <w:p w14:paraId="5E2F1352" w14:textId="77777777" w:rsidR="00B51E24" w:rsidRPr="00E47E44" w:rsidRDefault="00B51E24" w:rsidP="00B51E24">
      <w:pPr>
        <w:rPr>
          <w:rFonts w:cs="Arial"/>
        </w:rPr>
      </w:pPr>
      <w:r w:rsidRPr="00E47E44">
        <w:rPr>
          <w:rFonts w:cs="Arial"/>
        </w:rPr>
        <w:t>To understand the implications of turnover, organizations should compare their rates to industry benchmarks. For example, industries like hospitality and retail naturally experience higher turnover than technology or finance.</w:t>
      </w:r>
    </w:p>
    <w:p w14:paraId="0EA2CB2C" w14:textId="77777777" w:rsidR="005D1CB2" w:rsidRDefault="005D1CB2" w:rsidP="00B51E24">
      <w:pPr>
        <w:rPr>
          <w:rFonts w:cs="Arial"/>
          <w:b/>
          <w:bCs/>
          <w:sz w:val="28"/>
          <w:szCs w:val="28"/>
        </w:rPr>
      </w:pPr>
    </w:p>
    <w:p w14:paraId="4F050BFA" w14:textId="2A3000FE" w:rsidR="00B51E24" w:rsidRPr="000169D0" w:rsidRDefault="00B51E24" w:rsidP="00B51E24">
      <w:pPr>
        <w:rPr>
          <w:rFonts w:cs="Arial"/>
          <w:b/>
          <w:bCs/>
          <w:sz w:val="28"/>
          <w:szCs w:val="28"/>
        </w:rPr>
      </w:pPr>
      <w:r w:rsidRPr="000169D0">
        <w:rPr>
          <w:rFonts w:cs="Arial"/>
          <w:b/>
          <w:bCs/>
          <w:sz w:val="28"/>
          <w:szCs w:val="28"/>
        </w:rPr>
        <w:t>The Impact of High Turnover on Organizations</w:t>
      </w:r>
    </w:p>
    <w:p w14:paraId="37EAD2A4" w14:textId="77777777" w:rsidR="00C70DC5" w:rsidRDefault="00C70DC5" w:rsidP="00B51E24">
      <w:pPr>
        <w:rPr>
          <w:rFonts w:cs="Arial"/>
        </w:rPr>
      </w:pPr>
    </w:p>
    <w:p w14:paraId="0FA951D6" w14:textId="4A4443D3" w:rsidR="00B51E24" w:rsidRPr="00E47E44" w:rsidRDefault="00B51E24" w:rsidP="00B51E24">
      <w:pPr>
        <w:rPr>
          <w:rFonts w:cs="Arial"/>
        </w:rPr>
      </w:pPr>
      <w:r w:rsidRPr="00E47E44">
        <w:rPr>
          <w:rFonts w:cs="Arial"/>
        </w:rPr>
        <w:t>High turnover has wide-ranging consequences, including:</w:t>
      </w:r>
    </w:p>
    <w:p w14:paraId="6DB53450" w14:textId="77777777" w:rsidR="00B51E24" w:rsidRPr="00E47E44" w:rsidRDefault="00B51E24" w:rsidP="00B51E24">
      <w:pPr>
        <w:numPr>
          <w:ilvl w:val="0"/>
          <w:numId w:val="24"/>
        </w:numPr>
        <w:rPr>
          <w:rFonts w:cs="Arial"/>
        </w:rPr>
      </w:pPr>
      <w:r w:rsidRPr="00E47E44">
        <w:rPr>
          <w:rFonts w:cs="Arial"/>
          <w:b/>
          <w:bCs/>
        </w:rPr>
        <w:t>Increased Recruitment Costs</w:t>
      </w:r>
      <w:r w:rsidRPr="00E47E44">
        <w:rPr>
          <w:rFonts w:cs="Arial"/>
        </w:rPr>
        <w:t xml:space="preserve">: Hiring and onboarding new employees require significant resources, with estimates showing that turnover costs can reach </w:t>
      </w:r>
      <w:r w:rsidRPr="00E47E44">
        <w:rPr>
          <w:rFonts w:cs="Arial"/>
          <w:b/>
          <w:bCs/>
        </w:rPr>
        <w:t>50-200% of an employee’s annual salary</w:t>
      </w:r>
      <w:r w:rsidRPr="00E47E44">
        <w:rPr>
          <w:rStyle w:val="FootnoteReference"/>
          <w:rFonts w:cs="Arial"/>
          <w:b/>
          <w:bCs/>
        </w:rPr>
        <w:footnoteReference w:id="2"/>
      </w:r>
      <w:r w:rsidRPr="00E47E44">
        <w:rPr>
          <w:rFonts w:cs="Arial"/>
        </w:rPr>
        <w:t>.</w:t>
      </w:r>
    </w:p>
    <w:p w14:paraId="5BA4DC65" w14:textId="77777777" w:rsidR="00B51E24" w:rsidRPr="00E47E44" w:rsidRDefault="00B51E24" w:rsidP="00B51E24">
      <w:pPr>
        <w:numPr>
          <w:ilvl w:val="0"/>
          <w:numId w:val="24"/>
        </w:numPr>
        <w:rPr>
          <w:rFonts w:cs="Arial"/>
        </w:rPr>
      </w:pPr>
      <w:r w:rsidRPr="00E47E44">
        <w:rPr>
          <w:rFonts w:cs="Arial"/>
          <w:b/>
          <w:bCs/>
        </w:rPr>
        <w:t>Loss of Institutional Knowledge</w:t>
      </w:r>
      <w:r w:rsidRPr="00E47E44">
        <w:rPr>
          <w:rFonts w:cs="Arial"/>
        </w:rPr>
        <w:t>: Departing employees take with them valuable experience, client relationships, and industry expertise.</w:t>
      </w:r>
    </w:p>
    <w:p w14:paraId="5EA7E7EE" w14:textId="77777777" w:rsidR="00B51E24" w:rsidRPr="00E47E44" w:rsidRDefault="00B51E24" w:rsidP="00B51E24">
      <w:pPr>
        <w:numPr>
          <w:ilvl w:val="0"/>
          <w:numId w:val="24"/>
        </w:numPr>
        <w:rPr>
          <w:rFonts w:cs="Arial"/>
        </w:rPr>
      </w:pPr>
      <w:r w:rsidRPr="00E47E44">
        <w:rPr>
          <w:rFonts w:cs="Arial"/>
          <w:b/>
          <w:bCs/>
        </w:rPr>
        <w:t>Lower Employee Morale</w:t>
      </w:r>
      <w:r w:rsidRPr="00E47E44">
        <w:rPr>
          <w:rFonts w:cs="Arial"/>
        </w:rPr>
        <w:t>: High turnover environments can create instability and disengagement among remaining employees.</w:t>
      </w:r>
    </w:p>
    <w:p w14:paraId="6A797C1C" w14:textId="77777777" w:rsidR="00B51E24" w:rsidRPr="00E47E44" w:rsidRDefault="00B51E24" w:rsidP="00B51E24">
      <w:pPr>
        <w:numPr>
          <w:ilvl w:val="0"/>
          <w:numId w:val="24"/>
        </w:numPr>
        <w:rPr>
          <w:rFonts w:cs="Arial"/>
        </w:rPr>
      </w:pPr>
      <w:r w:rsidRPr="00E47E44">
        <w:rPr>
          <w:rFonts w:cs="Arial"/>
          <w:b/>
          <w:bCs/>
        </w:rPr>
        <w:t>Productivity Decline</w:t>
      </w:r>
      <w:r w:rsidRPr="00E47E44">
        <w:rPr>
          <w:rFonts w:cs="Arial"/>
        </w:rPr>
        <w:t>: Vacant positions and constant retraining efforts disrupt workflows, leading to inefficiencies.</w:t>
      </w:r>
    </w:p>
    <w:p w14:paraId="519B3887" w14:textId="77777777" w:rsidR="00B51E24" w:rsidRPr="00E47E44" w:rsidRDefault="00B51E24" w:rsidP="00B51E24">
      <w:pPr>
        <w:numPr>
          <w:ilvl w:val="0"/>
          <w:numId w:val="24"/>
        </w:numPr>
        <w:rPr>
          <w:rFonts w:cs="Arial"/>
        </w:rPr>
      </w:pPr>
      <w:r w:rsidRPr="00E47E44">
        <w:rPr>
          <w:rFonts w:cs="Arial"/>
          <w:b/>
          <w:bCs/>
        </w:rPr>
        <w:t>Damage to Employer Brand</w:t>
      </w:r>
      <w:r w:rsidRPr="00E47E44">
        <w:rPr>
          <w:rFonts w:cs="Arial"/>
        </w:rPr>
        <w:t>: An organization with high turnover struggles to attract top talent, as prospective employees may view frequent departures as a red flag.</w:t>
      </w:r>
    </w:p>
    <w:p w14:paraId="21EA078A" w14:textId="77777777" w:rsidR="005D1CB2" w:rsidRDefault="005D1CB2" w:rsidP="00B51E24">
      <w:pPr>
        <w:rPr>
          <w:rFonts w:cs="Arial"/>
          <w:b/>
          <w:bCs/>
          <w:sz w:val="28"/>
          <w:szCs w:val="28"/>
        </w:rPr>
      </w:pPr>
    </w:p>
    <w:p w14:paraId="4AD484A2" w14:textId="36FCF905" w:rsidR="00B51E24" w:rsidRPr="006A3A23" w:rsidRDefault="00B51E24" w:rsidP="00B51E24">
      <w:pPr>
        <w:rPr>
          <w:rFonts w:cs="Arial"/>
          <w:b/>
          <w:bCs/>
          <w:color w:val="1D2C4C"/>
          <w:sz w:val="28"/>
          <w:szCs w:val="28"/>
        </w:rPr>
      </w:pPr>
      <w:r w:rsidRPr="006A3A23">
        <w:rPr>
          <w:rFonts w:cs="Arial"/>
          <w:b/>
          <w:bCs/>
          <w:color w:val="1D2C4C"/>
          <w:sz w:val="28"/>
          <w:szCs w:val="28"/>
        </w:rPr>
        <w:t>Common Causes of High Turnover</w:t>
      </w:r>
    </w:p>
    <w:p w14:paraId="74F0DC35" w14:textId="77777777" w:rsidR="00C70DC5" w:rsidRDefault="00C70DC5" w:rsidP="00B51E24">
      <w:pPr>
        <w:rPr>
          <w:rFonts w:cs="Arial"/>
        </w:rPr>
      </w:pPr>
    </w:p>
    <w:p w14:paraId="55F122C7" w14:textId="469FA103" w:rsidR="00B51E24" w:rsidRDefault="00B51E24" w:rsidP="00B51E24">
      <w:pPr>
        <w:rPr>
          <w:rFonts w:cs="Arial"/>
        </w:rPr>
      </w:pPr>
      <w:r w:rsidRPr="00E47E44">
        <w:rPr>
          <w:rFonts w:cs="Arial"/>
        </w:rPr>
        <w:t>Understanding the root causes of turnover is essential to developing solutions. Key drivers include:</w:t>
      </w:r>
    </w:p>
    <w:p w14:paraId="1ED003A9" w14:textId="7BF9ADAF" w:rsidR="00B51E24" w:rsidRPr="006A3A23" w:rsidRDefault="00B51E24" w:rsidP="00C70DC5">
      <w:pPr>
        <w:pStyle w:val="ListParagraph"/>
        <w:numPr>
          <w:ilvl w:val="0"/>
          <w:numId w:val="37"/>
        </w:numPr>
        <w:rPr>
          <w:rFonts w:ascii="Arial" w:hAnsi="Arial" w:cs="Arial"/>
          <w:b/>
          <w:bCs/>
          <w:color w:val="1D2C4C"/>
          <w:sz w:val="22"/>
          <w:szCs w:val="22"/>
        </w:rPr>
      </w:pPr>
      <w:r w:rsidRPr="006A3A23">
        <w:rPr>
          <w:rFonts w:ascii="Arial" w:hAnsi="Arial" w:cs="Arial"/>
          <w:b/>
          <w:bCs/>
          <w:color w:val="1D2C4C"/>
          <w:sz w:val="22"/>
          <w:szCs w:val="22"/>
        </w:rPr>
        <w:t>Poor Job Fit and Misalignment</w:t>
      </w:r>
    </w:p>
    <w:p w14:paraId="2D293C4B" w14:textId="77777777" w:rsidR="00B51E24" w:rsidRPr="00E47E44" w:rsidRDefault="00B51E24" w:rsidP="00C70DC5">
      <w:pPr>
        <w:ind w:left="720"/>
        <w:rPr>
          <w:rFonts w:cs="Arial"/>
        </w:rPr>
      </w:pPr>
      <w:r w:rsidRPr="00E47E44">
        <w:rPr>
          <w:rFonts w:cs="Arial"/>
        </w:rPr>
        <w:t>Employees who feel their role does not match their skills, interests, or expectations are more likely to leave. A mismatch between employee strengths and job responsibilities results in frustration and disengagement.</w:t>
      </w:r>
    </w:p>
    <w:p w14:paraId="21FAD12E" w14:textId="5A6F4DE4" w:rsidR="00B51E24" w:rsidRPr="006A3A23" w:rsidRDefault="00B51E24" w:rsidP="00C70DC5">
      <w:pPr>
        <w:pStyle w:val="ListParagraph"/>
        <w:numPr>
          <w:ilvl w:val="0"/>
          <w:numId w:val="37"/>
        </w:numPr>
        <w:rPr>
          <w:rFonts w:ascii="Arial" w:hAnsi="Arial" w:cs="Arial"/>
          <w:b/>
          <w:bCs/>
          <w:color w:val="1D2C4C"/>
          <w:sz w:val="22"/>
          <w:szCs w:val="22"/>
        </w:rPr>
      </w:pPr>
      <w:r w:rsidRPr="006A3A23">
        <w:rPr>
          <w:rFonts w:ascii="Arial" w:hAnsi="Arial" w:cs="Arial"/>
          <w:b/>
          <w:bCs/>
          <w:color w:val="1D2C4C"/>
          <w:sz w:val="22"/>
          <w:szCs w:val="22"/>
        </w:rPr>
        <w:t>Inadequate Compensation and Benefits</w:t>
      </w:r>
    </w:p>
    <w:p w14:paraId="2E379393" w14:textId="77777777" w:rsidR="00B51E24" w:rsidRPr="00E47E44" w:rsidRDefault="00B51E24" w:rsidP="00C70DC5">
      <w:pPr>
        <w:ind w:left="720"/>
        <w:rPr>
          <w:rFonts w:cs="Arial"/>
        </w:rPr>
      </w:pPr>
      <w:r w:rsidRPr="00E47E44">
        <w:rPr>
          <w:rFonts w:cs="Arial"/>
        </w:rPr>
        <w:t>Salary and benefits remain major factors in retention. Organizations that fail to offer competitive pay and attractive benefits risk losing employees to better opportunities.</w:t>
      </w:r>
    </w:p>
    <w:p w14:paraId="25253B48" w14:textId="6A17DC58" w:rsidR="00B51E24" w:rsidRPr="006A3A23" w:rsidRDefault="00B51E24" w:rsidP="00C70DC5">
      <w:pPr>
        <w:pStyle w:val="ListParagraph"/>
        <w:numPr>
          <w:ilvl w:val="0"/>
          <w:numId w:val="37"/>
        </w:numPr>
        <w:rPr>
          <w:rFonts w:ascii="Arial" w:hAnsi="Arial" w:cs="Arial"/>
          <w:b/>
          <w:bCs/>
          <w:color w:val="1D2C4C"/>
          <w:sz w:val="22"/>
          <w:szCs w:val="22"/>
        </w:rPr>
      </w:pPr>
      <w:r w:rsidRPr="006A3A23">
        <w:rPr>
          <w:rFonts w:ascii="Arial" w:hAnsi="Arial" w:cs="Arial"/>
          <w:b/>
          <w:bCs/>
          <w:color w:val="1D2C4C"/>
          <w:sz w:val="22"/>
          <w:szCs w:val="22"/>
        </w:rPr>
        <w:t>Weak Leadership and Management</w:t>
      </w:r>
    </w:p>
    <w:p w14:paraId="205FFA92" w14:textId="77777777" w:rsidR="00B51E24" w:rsidRPr="00E47E44" w:rsidRDefault="00B51E24" w:rsidP="00C70DC5">
      <w:pPr>
        <w:ind w:left="720"/>
        <w:rPr>
          <w:rFonts w:cs="Arial"/>
        </w:rPr>
      </w:pPr>
      <w:r w:rsidRPr="00E47E44">
        <w:rPr>
          <w:rFonts w:cs="Arial"/>
        </w:rPr>
        <w:t>Managers play a pivotal role in employee satisfaction. Poor communication, lack of support, and inconsistent feedback contribute to disengagement and increased resignations.</w:t>
      </w:r>
    </w:p>
    <w:p w14:paraId="1D1C7C79" w14:textId="3B48D9A1" w:rsidR="00B51E24" w:rsidRPr="006A3A23" w:rsidRDefault="00B51E24" w:rsidP="00C70DC5">
      <w:pPr>
        <w:pStyle w:val="ListParagraph"/>
        <w:numPr>
          <w:ilvl w:val="0"/>
          <w:numId w:val="37"/>
        </w:numPr>
        <w:rPr>
          <w:rFonts w:ascii="Arial" w:hAnsi="Arial" w:cs="Arial"/>
          <w:b/>
          <w:bCs/>
          <w:color w:val="1D2C4C"/>
          <w:sz w:val="22"/>
          <w:szCs w:val="22"/>
        </w:rPr>
      </w:pPr>
      <w:r w:rsidRPr="006A3A23">
        <w:rPr>
          <w:rFonts w:ascii="Arial" w:hAnsi="Arial" w:cs="Arial"/>
          <w:b/>
          <w:bCs/>
          <w:color w:val="1D2C4C"/>
          <w:sz w:val="22"/>
          <w:szCs w:val="22"/>
        </w:rPr>
        <w:t>Limited Career Growth Opportunities</w:t>
      </w:r>
    </w:p>
    <w:p w14:paraId="68DFE1BB" w14:textId="77777777" w:rsidR="00B51E24" w:rsidRPr="00E47E44" w:rsidRDefault="00B51E24" w:rsidP="00C70DC5">
      <w:pPr>
        <w:ind w:left="720"/>
        <w:rPr>
          <w:rFonts w:cs="Arial"/>
        </w:rPr>
      </w:pPr>
      <w:r w:rsidRPr="00E47E44">
        <w:rPr>
          <w:rFonts w:cs="Arial"/>
        </w:rPr>
        <w:t>Employees seek professional development and career advancement. Organizations that do not provide clear growth paths may see employees leave in search of better prospects.</w:t>
      </w:r>
    </w:p>
    <w:p w14:paraId="6FE3B07A" w14:textId="167C794C" w:rsidR="00B51E24" w:rsidRPr="006A3A23" w:rsidRDefault="00B51E24" w:rsidP="00C70DC5">
      <w:pPr>
        <w:pStyle w:val="ListParagraph"/>
        <w:numPr>
          <w:ilvl w:val="0"/>
          <w:numId w:val="37"/>
        </w:numPr>
        <w:rPr>
          <w:rFonts w:ascii="Arial" w:hAnsi="Arial" w:cs="Arial"/>
          <w:b/>
          <w:bCs/>
          <w:color w:val="1D2C4C"/>
          <w:sz w:val="22"/>
          <w:szCs w:val="22"/>
        </w:rPr>
      </w:pPr>
      <w:r w:rsidRPr="006A3A23">
        <w:rPr>
          <w:rFonts w:ascii="Arial" w:hAnsi="Arial" w:cs="Arial"/>
          <w:b/>
          <w:bCs/>
          <w:color w:val="1D2C4C"/>
          <w:sz w:val="22"/>
          <w:szCs w:val="22"/>
        </w:rPr>
        <w:t>Workplace Culture and Engagement Issues</w:t>
      </w:r>
    </w:p>
    <w:p w14:paraId="0CF62798" w14:textId="77777777" w:rsidR="00B51E24" w:rsidRPr="00E47E44" w:rsidRDefault="00B51E24" w:rsidP="00C70DC5">
      <w:pPr>
        <w:ind w:left="720"/>
        <w:rPr>
          <w:rFonts w:cs="Arial"/>
        </w:rPr>
      </w:pPr>
      <w:r w:rsidRPr="00E47E44">
        <w:rPr>
          <w:rFonts w:cs="Arial"/>
        </w:rPr>
        <w:t>A toxic or disengaging workplace culture fosters dissatisfaction. Lack of recognition, collaboration issues, and poor work-life balance are key contributors to turnover.</w:t>
      </w:r>
    </w:p>
    <w:p w14:paraId="4571BA18" w14:textId="77777777" w:rsidR="005D1CB2" w:rsidRDefault="005D1CB2" w:rsidP="00B51E24">
      <w:pPr>
        <w:rPr>
          <w:rFonts w:cs="Arial"/>
          <w:b/>
          <w:bCs/>
          <w:sz w:val="28"/>
          <w:szCs w:val="28"/>
        </w:rPr>
      </w:pPr>
    </w:p>
    <w:p w14:paraId="7C00EC1C" w14:textId="77777777" w:rsidR="00C70DC5" w:rsidRDefault="00C70DC5">
      <w:pPr>
        <w:rPr>
          <w:rFonts w:cs="Arial"/>
          <w:b/>
          <w:bCs/>
          <w:sz w:val="28"/>
          <w:szCs w:val="28"/>
        </w:rPr>
      </w:pPr>
      <w:r>
        <w:rPr>
          <w:rFonts w:cs="Arial"/>
          <w:b/>
          <w:bCs/>
          <w:sz w:val="28"/>
          <w:szCs w:val="28"/>
        </w:rPr>
        <w:br w:type="page"/>
      </w:r>
    </w:p>
    <w:p w14:paraId="5A599BA7" w14:textId="37D4DBCC" w:rsidR="00B51E24" w:rsidRPr="006A3A23" w:rsidRDefault="00B51E24" w:rsidP="00B51E24">
      <w:pPr>
        <w:rPr>
          <w:rFonts w:cs="Arial"/>
          <w:b/>
          <w:bCs/>
          <w:color w:val="1D2C4C"/>
          <w:sz w:val="28"/>
          <w:szCs w:val="28"/>
        </w:rPr>
      </w:pPr>
      <w:r w:rsidRPr="006A3A23">
        <w:rPr>
          <w:rFonts w:cs="Arial"/>
          <w:b/>
          <w:bCs/>
          <w:color w:val="1D2C4C"/>
          <w:sz w:val="28"/>
          <w:szCs w:val="28"/>
        </w:rPr>
        <w:lastRenderedPageBreak/>
        <w:t>Strategies to Reduce Turnover</w:t>
      </w:r>
    </w:p>
    <w:p w14:paraId="1BB61651" w14:textId="77777777" w:rsidR="00C70DC5" w:rsidRPr="000169D0" w:rsidRDefault="00C70DC5" w:rsidP="00B51E24">
      <w:pPr>
        <w:rPr>
          <w:rFonts w:cs="Arial"/>
          <w:b/>
          <w:bCs/>
          <w:sz w:val="28"/>
          <w:szCs w:val="28"/>
        </w:rPr>
      </w:pPr>
    </w:p>
    <w:p w14:paraId="3AB540AB" w14:textId="77777777" w:rsidR="00B51E24" w:rsidRPr="00E47E44" w:rsidRDefault="00B51E24" w:rsidP="00B51E24">
      <w:pPr>
        <w:rPr>
          <w:rFonts w:cs="Arial"/>
        </w:rPr>
      </w:pPr>
      <w:r w:rsidRPr="00E47E44">
        <w:rPr>
          <w:rFonts w:cs="Arial"/>
        </w:rPr>
        <w:t>Organizations can take proactive measures to mitigate turnover risks:</w:t>
      </w:r>
    </w:p>
    <w:p w14:paraId="567EA248" w14:textId="21A96A5C" w:rsidR="00B51E24" w:rsidRPr="006A3A23" w:rsidRDefault="00B51E24" w:rsidP="00C70DC5">
      <w:pPr>
        <w:pStyle w:val="ListParagraph"/>
        <w:numPr>
          <w:ilvl w:val="0"/>
          <w:numId w:val="40"/>
        </w:numPr>
        <w:rPr>
          <w:rFonts w:ascii="Arial" w:hAnsi="Arial" w:cs="Arial"/>
          <w:b/>
          <w:bCs/>
          <w:color w:val="1D2C4C"/>
        </w:rPr>
      </w:pPr>
      <w:r w:rsidRPr="006A3A23">
        <w:rPr>
          <w:rFonts w:ascii="Arial" w:hAnsi="Arial" w:cs="Arial"/>
          <w:b/>
          <w:bCs/>
          <w:color w:val="1D2C4C"/>
        </w:rPr>
        <w:t>Optimize Hiring and Onboarding Processes</w:t>
      </w:r>
    </w:p>
    <w:p w14:paraId="53248CE8" w14:textId="77777777" w:rsidR="00B51E24" w:rsidRPr="00E47E44" w:rsidRDefault="00B51E24" w:rsidP="00C70DC5">
      <w:pPr>
        <w:numPr>
          <w:ilvl w:val="0"/>
          <w:numId w:val="39"/>
        </w:numPr>
        <w:tabs>
          <w:tab w:val="clear" w:pos="720"/>
        </w:tabs>
        <w:ind w:left="1080"/>
        <w:rPr>
          <w:rFonts w:cs="Arial"/>
        </w:rPr>
      </w:pPr>
      <w:r w:rsidRPr="00E47E44">
        <w:rPr>
          <w:rFonts w:cs="Arial"/>
        </w:rPr>
        <w:t>Use behavioral assessments like The Predictive Index to ensure role alignment.</w:t>
      </w:r>
    </w:p>
    <w:p w14:paraId="3C3E7793" w14:textId="77777777" w:rsidR="00B51E24" w:rsidRPr="00E47E44" w:rsidRDefault="00B51E24" w:rsidP="00C70DC5">
      <w:pPr>
        <w:numPr>
          <w:ilvl w:val="0"/>
          <w:numId w:val="39"/>
        </w:numPr>
        <w:tabs>
          <w:tab w:val="clear" w:pos="720"/>
        </w:tabs>
        <w:ind w:left="1080"/>
        <w:rPr>
          <w:rFonts w:cs="Arial"/>
        </w:rPr>
      </w:pPr>
      <w:r w:rsidRPr="00E47E44">
        <w:rPr>
          <w:rFonts w:cs="Arial"/>
        </w:rPr>
        <w:t>Structure comprehensive onboarding programs to integrate new hires effectively.</w:t>
      </w:r>
    </w:p>
    <w:p w14:paraId="437E0D55" w14:textId="04B44CA9" w:rsidR="00B51E24" w:rsidRPr="006A3A23" w:rsidRDefault="00B51E24" w:rsidP="00C70DC5">
      <w:pPr>
        <w:pStyle w:val="ListParagraph"/>
        <w:numPr>
          <w:ilvl w:val="0"/>
          <w:numId w:val="40"/>
        </w:numPr>
        <w:rPr>
          <w:rFonts w:ascii="Arial" w:hAnsi="Arial" w:cs="Arial"/>
          <w:b/>
          <w:bCs/>
          <w:color w:val="1D2C4C"/>
        </w:rPr>
      </w:pPr>
      <w:r w:rsidRPr="006A3A23">
        <w:rPr>
          <w:rFonts w:ascii="Arial" w:hAnsi="Arial" w:cs="Arial"/>
          <w:b/>
          <w:bCs/>
          <w:color w:val="1D2C4C"/>
        </w:rPr>
        <w:t>Strengthen Employee-Manager Relationships</w:t>
      </w:r>
    </w:p>
    <w:p w14:paraId="55D241EE" w14:textId="77777777" w:rsidR="00B51E24" w:rsidRPr="00E47E44" w:rsidRDefault="00B51E24" w:rsidP="00C70DC5">
      <w:pPr>
        <w:numPr>
          <w:ilvl w:val="0"/>
          <w:numId w:val="39"/>
        </w:numPr>
        <w:tabs>
          <w:tab w:val="clear" w:pos="720"/>
        </w:tabs>
        <w:ind w:left="1080"/>
        <w:rPr>
          <w:rFonts w:cs="Arial"/>
        </w:rPr>
      </w:pPr>
      <w:r w:rsidRPr="00E47E44">
        <w:rPr>
          <w:rFonts w:cs="Arial"/>
        </w:rPr>
        <w:t>Train managers to offer consistent feedback, coaching, and support.</w:t>
      </w:r>
    </w:p>
    <w:p w14:paraId="7E382F4F" w14:textId="77777777" w:rsidR="00B51E24" w:rsidRPr="00E47E44" w:rsidRDefault="00B51E24" w:rsidP="00C70DC5">
      <w:pPr>
        <w:numPr>
          <w:ilvl w:val="0"/>
          <w:numId w:val="39"/>
        </w:numPr>
        <w:tabs>
          <w:tab w:val="clear" w:pos="720"/>
        </w:tabs>
        <w:ind w:left="1080"/>
        <w:rPr>
          <w:rFonts w:cs="Arial"/>
        </w:rPr>
      </w:pPr>
      <w:r w:rsidRPr="00E47E44">
        <w:rPr>
          <w:rFonts w:cs="Arial"/>
        </w:rPr>
        <w:t>Encourage regular check-ins and one-on-one meetings.</w:t>
      </w:r>
    </w:p>
    <w:p w14:paraId="4C7BE076" w14:textId="22C21B73" w:rsidR="00B51E24" w:rsidRPr="006A3A23" w:rsidRDefault="00B51E24" w:rsidP="00C70DC5">
      <w:pPr>
        <w:pStyle w:val="ListParagraph"/>
        <w:numPr>
          <w:ilvl w:val="0"/>
          <w:numId w:val="40"/>
        </w:numPr>
        <w:rPr>
          <w:rFonts w:ascii="Arial" w:hAnsi="Arial" w:cs="Arial"/>
          <w:b/>
          <w:bCs/>
          <w:color w:val="1D2C4C"/>
        </w:rPr>
      </w:pPr>
      <w:r w:rsidRPr="006A3A23">
        <w:rPr>
          <w:rFonts w:ascii="Arial" w:hAnsi="Arial" w:cs="Arial"/>
          <w:b/>
          <w:bCs/>
          <w:color w:val="1D2C4C"/>
        </w:rPr>
        <w:t>Offer Competitive Compensation and Benefits</w:t>
      </w:r>
    </w:p>
    <w:p w14:paraId="475EE4F6" w14:textId="77777777" w:rsidR="00B51E24" w:rsidRPr="00E47E44" w:rsidRDefault="00B51E24" w:rsidP="00C70DC5">
      <w:pPr>
        <w:numPr>
          <w:ilvl w:val="0"/>
          <w:numId w:val="39"/>
        </w:numPr>
        <w:tabs>
          <w:tab w:val="clear" w:pos="720"/>
        </w:tabs>
        <w:ind w:left="1080"/>
        <w:rPr>
          <w:rFonts w:cs="Arial"/>
        </w:rPr>
      </w:pPr>
      <w:r w:rsidRPr="00E47E44">
        <w:rPr>
          <w:rFonts w:cs="Arial"/>
        </w:rPr>
        <w:t>Conduct market salary analyses to ensure fair pay.</w:t>
      </w:r>
    </w:p>
    <w:p w14:paraId="1E827FE5" w14:textId="77777777" w:rsidR="00B51E24" w:rsidRPr="00E47E44" w:rsidRDefault="00B51E24" w:rsidP="00C70DC5">
      <w:pPr>
        <w:numPr>
          <w:ilvl w:val="0"/>
          <w:numId w:val="39"/>
        </w:numPr>
        <w:tabs>
          <w:tab w:val="clear" w:pos="720"/>
        </w:tabs>
        <w:ind w:left="1080"/>
        <w:rPr>
          <w:rFonts w:cs="Arial"/>
        </w:rPr>
      </w:pPr>
      <w:r w:rsidRPr="00E47E44">
        <w:rPr>
          <w:rFonts w:cs="Arial"/>
        </w:rPr>
        <w:t>Provide additional benefits such as flexible work arrangements, wellness programs, and tuition reimbursement.</w:t>
      </w:r>
    </w:p>
    <w:p w14:paraId="0F713575" w14:textId="3551535C" w:rsidR="00B51E24" w:rsidRPr="006A3A23" w:rsidRDefault="00B51E24" w:rsidP="00C70DC5">
      <w:pPr>
        <w:pStyle w:val="ListParagraph"/>
        <w:numPr>
          <w:ilvl w:val="0"/>
          <w:numId w:val="40"/>
        </w:numPr>
        <w:rPr>
          <w:rFonts w:ascii="Arial" w:hAnsi="Arial" w:cs="Arial"/>
          <w:b/>
          <w:bCs/>
          <w:color w:val="1D2C4C"/>
        </w:rPr>
      </w:pPr>
      <w:r w:rsidRPr="006A3A23">
        <w:rPr>
          <w:rFonts w:ascii="Arial" w:hAnsi="Arial" w:cs="Arial"/>
          <w:b/>
          <w:bCs/>
          <w:color w:val="1D2C4C"/>
        </w:rPr>
        <w:t>Foster Career Development Opportunities</w:t>
      </w:r>
    </w:p>
    <w:p w14:paraId="051C8500" w14:textId="77777777" w:rsidR="00B51E24" w:rsidRPr="00E47E44" w:rsidRDefault="00B51E24" w:rsidP="00C70DC5">
      <w:pPr>
        <w:numPr>
          <w:ilvl w:val="0"/>
          <w:numId w:val="39"/>
        </w:numPr>
        <w:tabs>
          <w:tab w:val="clear" w:pos="720"/>
        </w:tabs>
        <w:ind w:left="1080"/>
        <w:rPr>
          <w:rFonts w:cs="Arial"/>
        </w:rPr>
      </w:pPr>
      <w:r w:rsidRPr="00E47E44">
        <w:rPr>
          <w:rFonts w:cs="Arial"/>
        </w:rPr>
        <w:t>Implement mentorship programs and skills training.</w:t>
      </w:r>
    </w:p>
    <w:p w14:paraId="32270D05" w14:textId="77777777" w:rsidR="00B51E24" w:rsidRPr="00E47E44" w:rsidRDefault="00B51E24" w:rsidP="00C70DC5">
      <w:pPr>
        <w:numPr>
          <w:ilvl w:val="0"/>
          <w:numId w:val="39"/>
        </w:numPr>
        <w:tabs>
          <w:tab w:val="clear" w:pos="720"/>
        </w:tabs>
        <w:ind w:left="1080"/>
        <w:rPr>
          <w:rFonts w:cs="Arial"/>
        </w:rPr>
      </w:pPr>
      <w:r w:rsidRPr="00E47E44">
        <w:rPr>
          <w:rFonts w:cs="Arial"/>
        </w:rPr>
        <w:t>Offer clear career progression pathways.</w:t>
      </w:r>
    </w:p>
    <w:p w14:paraId="1F2B3F40" w14:textId="059A4A7E" w:rsidR="00B51E24" w:rsidRPr="006A3A23" w:rsidRDefault="00B51E24" w:rsidP="00C70DC5">
      <w:pPr>
        <w:pStyle w:val="ListParagraph"/>
        <w:numPr>
          <w:ilvl w:val="0"/>
          <w:numId w:val="40"/>
        </w:numPr>
        <w:rPr>
          <w:rFonts w:ascii="Arial" w:hAnsi="Arial" w:cs="Arial"/>
          <w:b/>
          <w:bCs/>
          <w:color w:val="1D2C4C"/>
        </w:rPr>
      </w:pPr>
      <w:r w:rsidRPr="006A3A23">
        <w:rPr>
          <w:rFonts w:ascii="Arial" w:hAnsi="Arial" w:cs="Arial"/>
          <w:b/>
          <w:bCs/>
          <w:color w:val="1D2C4C"/>
        </w:rPr>
        <w:t>Enhance Workplace Culture and Engagement</w:t>
      </w:r>
    </w:p>
    <w:p w14:paraId="59264A33" w14:textId="77777777" w:rsidR="00B51E24" w:rsidRPr="00E47E44" w:rsidRDefault="00B51E24" w:rsidP="00C70DC5">
      <w:pPr>
        <w:numPr>
          <w:ilvl w:val="0"/>
          <w:numId w:val="39"/>
        </w:numPr>
        <w:tabs>
          <w:tab w:val="clear" w:pos="720"/>
        </w:tabs>
        <w:ind w:left="1080"/>
        <w:rPr>
          <w:rFonts w:cs="Arial"/>
        </w:rPr>
      </w:pPr>
      <w:r w:rsidRPr="00E47E44">
        <w:rPr>
          <w:rFonts w:cs="Arial"/>
        </w:rPr>
        <w:t>Recognize employee contributions regularly.</w:t>
      </w:r>
    </w:p>
    <w:p w14:paraId="2CF9591A" w14:textId="77777777" w:rsidR="00B51E24" w:rsidRPr="00E47E44" w:rsidRDefault="00B51E24" w:rsidP="00C70DC5">
      <w:pPr>
        <w:numPr>
          <w:ilvl w:val="0"/>
          <w:numId w:val="39"/>
        </w:numPr>
        <w:tabs>
          <w:tab w:val="clear" w:pos="720"/>
        </w:tabs>
        <w:ind w:left="1080"/>
        <w:rPr>
          <w:rFonts w:cs="Arial"/>
        </w:rPr>
      </w:pPr>
      <w:r w:rsidRPr="00E47E44">
        <w:rPr>
          <w:rFonts w:cs="Arial"/>
        </w:rPr>
        <w:t>Promote inclusion, teamwork, and a positive work environment.</w:t>
      </w:r>
    </w:p>
    <w:p w14:paraId="5F0D8CEE" w14:textId="77777777" w:rsidR="005D1CB2" w:rsidRDefault="005D1CB2" w:rsidP="00B51E24">
      <w:pPr>
        <w:rPr>
          <w:rFonts w:cs="Arial"/>
          <w:b/>
          <w:bCs/>
          <w:sz w:val="28"/>
          <w:szCs w:val="28"/>
        </w:rPr>
      </w:pPr>
    </w:p>
    <w:p w14:paraId="74DBF45D" w14:textId="2A5020F8" w:rsidR="00B51E24" w:rsidRPr="006A3A23" w:rsidRDefault="00B51E24" w:rsidP="00B51E24">
      <w:pPr>
        <w:rPr>
          <w:rFonts w:cs="Arial"/>
          <w:b/>
          <w:bCs/>
          <w:color w:val="1D2C4C"/>
          <w:sz w:val="28"/>
          <w:szCs w:val="28"/>
        </w:rPr>
      </w:pPr>
      <w:r w:rsidRPr="006A3A23">
        <w:rPr>
          <w:rFonts w:cs="Arial"/>
          <w:b/>
          <w:bCs/>
          <w:color w:val="1D2C4C"/>
          <w:sz w:val="28"/>
          <w:szCs w:val="28"/>
        </w:rPr>
        <w:t>How The Predictive Index Helps Prevent Turnover</w:t>
      </w:r>
    </w:p>
    <w:p w14:paraId="257B81A1" w14:textId="77777777" w:rsidR="00C70DC5" w:rsidRPr="000169D0" w:rsidRDefault="00C70DC5" w:rsidP="00B51E24">
      <w:pPr>
        <w:rPr>
          <w:rFonts w:cs="Arial"/>
          <w:b/>
          <w:bCs/>
          <w:sz w:val="28"/>
          <w:szCs w:val="28"/>
        </w:rPr>
      </w:pPr>
    </w:p>
    <w:p w14:paraId="353A7D49" w14:textId="77777777" w:rsidR="00B51E24" w:rsidRPr="00E47E44" w:rsidRDefault="00B51E24" w:rsidP="00B51E24">
      <w:pPr>
        <w:rPr>
          <w:rFonts w:cs="Arial"/>
        </w:rPr>
      </w:pPr>
      <w:r w:rsidRPr="00E47E44">
        <w:rPr>
          <w:rFonts w:cs="Arial"/>
        </w:rPr>
        <w:t>The Predictive Index (PI) enables organizations to apply science-backed insights to workforce management. PI helps prevent turnover through:</w:t>
      </w:r>
    </w:p>
    <w:p w14:paraId="1FE529C5" w14:textId="229D5F80" w:rsidR="00B51E24" w:rsidRPr="006A3A23" w:rsidRDefault="00B51E24" w:rsidP="00E47E44">
      <w:pPr>
        <w:pStyle w:val="ListParagraph"/>
        <w:numPr>
          <w:ilvl w:val="0"/>
          <w:numId w:val="36"/>
        </w:numPr>
        <w:ind w:left="720"/>
        <w:rPr>
          <w:rFonts w:ascii="Arial" w:hAnsi="Arial" w:cs="Arial"/>
          <w:b/>
          <w:bCs/>
          <w:color w:val="1D2C4C"/>
          <w:sz w:val="22"/>
          <w:szCs w:val="22"/>
        </w:rPr>
      </w:pPr>
      <w:r w:rsidRPr="006A3A23">
        <w:rPr>
          <w:rFonts w:ascii="Arial" w:hAnsi="Arial" w:cs="Arial"/>
          <w:b/>
          <w:bCs/>
          <w:color w:val="1D2C4C"/>
          <w:sz w:val="22"/>
          <w:szCs w:val="22"/>
        </w:rPr>
        <w:t>Behavioral and Cognitive Assessments</w:t>
      </w:r>
    </w:p>
    <w:p w14:paraId="358032A6" w14:textId="77777777" w:rsidR="00B51E24" w:rsidRPr="005D1CB2" w:rsidRDefault="00B51E24" w:rsidP="00C70DC5">
      <w:pPr>
        <w:ind w:left="720"/>
        <w:rPr>
          <w:rFonts w:cs="Arial"/>
        </w:rPr>
      </w:pPr>
      <w:r w:rsidRPr="005D1CB2">
        <w:rPr>
          <w:rFonts w:cs="Arial"/>
        </w:rPr>
        <w:t>PI assessments measure personality traits and cognitive abilities to ensure employees are placed in roles that align with their natural strengths.</w:t>
      </w:r>
    </w:p>
    <w:p w14:paraId="1223DA1B" w14:textId="02E7EE93" w:rsidR="00B51E24" w:rsidRPr="006A3A23" w:rsidRDefault="00B51E24" w:rsidP="00E47E44">
      <w:pPr>
        <w:pStyle w:val="ListParagraph"/>
        <w:numPr>
          <w:ilvl w:val="0"/>
          <w:numId w:val="36"/>
        </w:numPr>
        <w:ind w:left="720"/>
        <w:rPr>
          <w:rFonts w:ascii="Arial" w:hAnsi="Arial" w:cs="Arial"/>
          <w:b/>
          <w:bCs/>
          <w:color w:val="1D2C4C"/>
          <w:sz w:val="22"/>
          <w:szCs w:val="22"/>
        </w:rPr>
      </w:pPr>
      <w:r w:rsidRPr="006A3A23">
        <w:rPr>
          <w:rFonts w:ascii="Arial" w:hAnsi="Arial" w:cs="Arial"/>
          <w:b/>
          <w:bCs/>
          <w:color w:val="1D2C4C"/>
          <w:sz w:val="22"/>
          <w:szCs w:val="22"/>
        </w:rPr>
        <w:t>Predicting At-Risk Employees</w:t>
      </w:r>
    </w:p>
    <w:p w14:paraId="04730272" w14:textId="77777777" w:rsidR="00B51E24" w:rsidRPr="005D1CB2" w:rsidRDefault="00B51E24" w:rsidP="00C70DC5">
      <w:pPr>
        <w:ind w:left="720"/>
        <w:rPr>
          <w:rFonts w:cs="Arial"/>
        </w:rPr>
      </w:pPr>
      <w:r w:rsidRPr="005D1CB2">
        <w:rPr>
          <w:rFonts w:cs="Arial"/>
        </w:rPr>
        <w:t>By analyzing behavioral patterns, PI can identify employees at risk of disengagement, allowing organizations to intervene proactively.</w:t>
      </w:r>
    </w:p>
    <w:p w14:paraId="4B319193" w14:textId="5C020EE9" w:rsidR="00B51E24" w:rsidRPr="006A3A23" w:rsidRDefault="00B51E24" w:rsidP="00E47E44">
      <w:pPr>
        <w:pStyle w:val="ListParagraph"/>
        <w:numPr>
          <w:ilvl w:val="0"/>
          <w:numId w:val="36"/>
        </w:numPr>
        <w:ind w:left="720"/>
        <w:rPr>
          <w:rFonts w:ascii="Arial" w:hAnsi="Arial" w:cs="Arial"/>
          <w:b/>
          <w:bCs/>
          <w:color w:val="1D2C4C"/>
          <w:sz w:val="22"/>
          <w:szCs w:val="22"/>
        </w:rPr>
      </w:pPr>
      <w:r w:rsidRPr="006A3A23">
        <w:rPr>
          <w:rFonts w:ascii="Arial" w:hAnsi="Arial" w:cs="Arial"/>
          <w:b/>
          <w:bCs/>
          <w:color w:val="1D2C4C"/>
          <w:sz w:val="22"/>
          <w:szCs w:val="22"/>
        </w:rPr>
        <w:t>Improving Manager-Employee Relationships</w:t>
      </w:r>
    </w:p>
    <w:p w14:paraId="47AA9D27" w14:textId="77777777" w:rsidR="00B51E24" w:rsidRPr="005D1CB2" w:rsidRDefault="00B51E24" w:rsidP="00C70DC5">
      <w:pPr>
        <w:ind w:left="720"/>
        <w:rPr>
          <w:rFonts w:cs="Arial"/>
        </w:rPr>
      </w:pPr>
      <w:r w:rsidRPr="005D1CB2">
        <w:rPr>
          <w:rFonts w:cs="Arial"/>
        </w:rPr>
        <w:t>PI provides managers with insights into team dynamics and communication preferences, improving leadership effectiveness.</w:t>
      </w:r>
    </w:p>
    <w:p w14:paraId="775BB875" w14:textId="41CEE54F" w:rsidR="00B51E24" w:rsidRPr="006A3A23" w:rsidRDefault="00B51E24" w:rsidP="00E47E44">
      <w:pPr>
        <w:pStyle w:val="ListParagraph"/>
        <w:numPr>
          <w:ilvl w:val="0"/>
          <w:numId w:val="36"/>
        </w:numPr>
        <w:ind w:left="720"/>
        <w:rPr>
          <w:rFonts w:ascii="Arial" w:hAnsi="Arial" w:cs="Arial"/>
          <w:b/>
          <w:bCs/>
          <w:color w:val="1D2C4C"/>
          <w:sz w:val="22"/>
          <w:szCs w:val="22"/>
        </w:rPr>
      </w:pPr>
      <w:r w:rsidRPr="006A3A23">
        <w:rPr>
          <w:rFonts w:ascii="Arial" w:hAnsi="Arial" w:cs="Arial"/>
          <w:b/>
          <w:bCs/>
          <w:color w:val="1D2C4C"/>
          <w:sz w:val="22"/>
          <w:szCs w:val="22"/>
        </w:rPr>
        <w:t>Enhancing Team Performance and Collaboration</w:t>
      </w:r>
    </w:p>
    <w:p w14:paraId="14C051CC" w14:textId="77777777" w:rsidR="00B51E24" w:rsidRPr="005D1CB2" w:rsidRDefault="00B51E24" w:rsidP="00C70DC5">
      <w:pPr>
        <w:ind w:left="720"/>
        <w:rPr>
          <w:rFonts w:cs="Arial"/>
        </w:rPr>
      </w:pPr>
      <w:r w:rsidRPr="005D1CB2">
        <w:rPr>
          <w:rFonts w:cs="Arial"/>
        </w:rPr>
        <w:t>Understanding employees’ work styles allows organizations to build high-performing, collaborative teams.</w:t>
      </w:r>
    </w:p>
    <w:p w14:paraId="310ECB2A" w14:textId="40F0547F" w:rsidR="00B51E24" w:rsidRPr="006A3A23" w:rsidRDefault="00B51E24" w:rsidP="00E47E44">
      <w:pPr>
        <w:pStyle w:val="ListParagraph"/>
        <w:numPr>
          <w:ilvl w:val="0"/>
          <w:numId w:val="36"/>
        </w:numPr>
        <w:ind w:left="720"/>
        <w:rPr>
          <w:rFonts w:ascii="Arial" w:hAnsi="Arial" w:cs="Arial"/>
          <w:b/>
          <w:bCs/>
          <w:color w:val="1D2C4C"/>
          <w:sz w:val="22"/>
          <w:szCs w:val="22"/>
        </w:rPr>
      </w:pPr>
      <w:r w:rsidRPr="006A3A23">
        <w:rPr>
          <w:rFonts w:ascii="Arial" w:hAnsi="Arial" w:cs="Arial"/>
          <w:b/>
          <w:bCs/>
          <w:color w:val="1D2C4C"/>
          <w:sz w:val="22"/>
          <w:szCs w:val="22"/>
        </w:rPr>
        <w:t>Data-Driven Talent Strategy</w:t>
      </w:r>
    </w:p>
    <w:p w14:paraId="1F94CBBF" w14:textId="77777777" w:rsidR="00B51E24" w:rsidRPr="005D1CB2" w:rsidRDefault="00B51E24" w:rsidP="00C70DC5">
      <w:pPr>
        <w:ind w:left="720"/>
        <w:rPr>
          <w:rFonts w:cs="Arial"/>
        </w:rPr>
      </w:pPr>
      <w:r w:rsidRPr="005D1CB2">
        <w:rPr>
          <w:rFonts w:cs="Arial"/>
        </w:rPr>
        <w:t>PI helps organizations create targeted retention programs, ensuring long-term employee satisfaction and stability.</w:t>
      </w:r>
    </w:p>
    <w:p w14:paraId="5AF9A6B7" w14:textId="77777777" w:rsidR="00E47E44" w:rsidRPr="00E47E44" w:rsidRDefault="00E47E44" w:rsidP="00B51E24">
      <w:pPr>
        <w:rPr>
          <w:rFonts w:cs="Arial"/>
        </w:rPr>
      </w:pPr>
    </w:p>
    <w:p w14:paraId="7D47ED63" w14:textId="77777777" w:rsidR="006A3A23" w:rsidRDefault="006A3A23">
      <w:pPr>
        <w:rPr>
          <w:rFonts w:cs="Arial"/>
          <w:b/>
          <w:bCs/>
          <w:sz w:val="28"/>
          <w:szCs w:val="28"/>
        </w:rPr>
      </w:pPr>
      <w:r>
        <w:rPr>
          <w:rFonts w:cs="Arial"/>
          <w:b/>
          <w:bCs/>
          <w:sz w:val="28"/>
          <w:szCs w:val="28"/>
        </w:rPr>
        <w:br w:type="page"/>
      </w:r>
    </w:p>
    <w:p w14:paraId="2A592EC9" w14:textId="01D5AC84" w:rsidR="00B51E24" w:rsidRPr="006A3A23" w:rsidRDefault="00B51E24" w:rsidP="00B51E24">
      <w:pPr>
        <w:rPr>
          <w:rFonts w:cs="Arial"/>
          <w:b/>
          <w:bCs/>
          <w:color w:val="1D2C4C"/>
          <w:sz w:val="28"/>
          <w:szCs w:val="28"/>
        </w:rPr>
      </w:pPr>
      <w:r w:rsidRPr="006A3A23">
        <w:rPr>
          <w:rFonts w:cs="Arial"/>
          <w:b/>
          <w:bCs/>
          <w:color w:val="1D2C4C"/>
          <w:sz w:val="28"/>
          <w:szCs w:val="28"/>
        </w:rPr>
        <w:lastRenderedPageBreak/>
        <w:t>Case Study</w:t>
      </w:r>
    </w:p>
    <w:p w14:paraId="3A64AB0A" w14:textId="77777777" w:rsidR="00B51E24" w:rsidRPr="006A3A23" w:rsidRDefault="00B51E24" w:rsidP="00B51E24">
      <w:pPr>
        <w:rPr>
          <w:rFonts w:cs="Arial"/>
          <w:color w:val="1D2C4C"/>
        </w:rPr>
      </w:pPr>
      <w:r w:rsidRPr="006A3A23">
        <w:rPr>
          <w:rFonts w:cs="Arial"/>
          <w:b/>
          <w:bCs/>
          <w:color w:val="1D2C4C"/>
        </w:rPr>
        <w:t>VSECU's Transformation with The Predictive Index</w:t>
      </w:r>
      <w:r w:rsidRPr="006A3A23">
        <w:rPr>
          <w:rStyle w:val="FootnoteReference"/>
          <w:rFonts w:cs="Arial"/>
          <w:b/>
          <w:bCs/>
          <w:color w:val="1D2C4C"/>
        </w:rPr>
        <w:footnoteReference w:id="3"/>
      </w:r>
    </w:p>
    <w:p w14:paraId="533846A8" w14:textId="77777777" w:rsidR="00E47E44" w:rsidRDefault="00E47E44" w:rsidP="00B51E24">
      <w:pPr>
        <w:rPr>
          <w:rFonts w:cs="Arial"/>
        </w:rPr>
      </w:pPr>
    </w:p>
    <w:p w14:paraId="43026631" w14:textId="048DE935" w:rsidR="00B51E24" w:rsidRDefault="00B51E24" w:rsidP="00B51E24">
      <w:pPr>
        <w:rPr>
          <w:rFonts w:cs="Arial"/>
        </w:rPr>
      </w:pPr>
      <w:r w:rsidRPr="00E47E44">
        <w:rPr>
          <w:rFonts w:cs="Arial"/>
        </w:rPr>
        <w:t>VSECU faced challenges with employee turnover, particularly due to misalignment between employees' roles and the organization's culture and vision. Traditional hiring practices focused on candidates with banking experience, which did not always result in optimal job fit or performance.</w:t>
      </w:r>
    </w:p>
    <w:p w14:paraId="61A7FC7B" w14:textId="77777777" w:rsidR="00E47E44" w:rsidRPr="00E47E44" w:rsidRDefault="00E47E44" w:rsidP="00B51E24">
      <w:pPr>
        <w:rPr>
          <w:rFonts w:cs="Arial"/>
        </w:rPr>
      </w:pPr>
    </w:p>
    <w:p w14:paraId="4E172B2F" w14:textId="77777777" w:rsidR="00B51E24" w:rsidRPr="00E47E44" w:rsidRDefault="00B51E24" w:rsidP="00B51E24">
      <w:pPr>
        <w:rPr>
          <w:rFonts w:cs="Arial"/>
        </w:rPr>
      </w:pPr>
      <w:r w:rsidRPr="00E47E44">
        <w:rPr>
          <w:rFonts w:cs="Arial"/>
        </w:rPr>
        <w:t>To address these issues, VSECU restructured its human resources approach by dividing traditional HR functions into three pillars:</w:t>
      </w:r>
    </w:p>
    <w:p w14:paraId="69E08B8E" w14:textId="77777777" w:rsidR="00B51E24" w:rsidRPr="00E47E44" w:rsidRDefault="00B51E24" w:rsidP="00B51E24">
      <w:pPr>
        <w:numPr>
          <w:ilvl w:val="0"/>
          <w:numId w:val="30"/>
        </w:numPr>
        <w:rPr>
          <w:rFonts w:cs="Arial"/>
        </w:rPr>
      </w:pPr>
      <w:r w:rsidRPr="006A3A23">
        <w:rPr>
          <w:rFonts w:cs="Arial"/>
          <w:b/>
          <w:bCs/>
          <w:color w:val="1D2C4C"/>
        </w:rPr>
        <w:t>Training and Onboarding</w:t>
      </w:r>
      <w:r w:rsidRPr="00E47E44">
        <w:rPr>
          <w:rFonts w:cs="Arial"/>
        </w:rPr>
        <w:t>: Transferred to the operations department to ensure new hires were effectively integrated into the organization's processes.</w:t>
      </w:r>
    </w:p>
    <w:p w14:paraId="6656AC7D" w14:textId="77777777" w:rsidR="00B51E24" w:rsidRPr="00E47E44" w:rsidRDefault="00B51E24" w:rsidP="00B51E24">
      <w:pPr>
        <w:numPr>
          <w:ilvl w:val="0"/>
          <w:numId w:val="30"/>
        </w:numPr>
        <w:rPr>
          <w:rFonts w:cs="Arial"/>
        </w:rPr>
      </w:pPr>
      <w:r w:rsidRPr="006A3A23">
        <w:rPr>
          <w:rFonts w:cs="Arial"/>
          <w:b/>
          <w:bCs/>
          <w:color w:val="1D2C4C"/>
        </w:rPr>
        <w:t>Recruiting</w:t>
      </w:r>
      <w:r w:rsidRPr="00E47E44">
        <w:rPr>
          <w:rFonts w:cs="Arial"/>
        </w:rPr>
        <w:t>: Moved to marketing and business development to align hiring strategies with customer and business growth objectives.</w:t>
      </w:r>
    </w:p>
    <w:p w14:paraId="26241273" w14:textId="77777777" w:rsidR="00B51E24" w:rsidRPr="00E47E44" w:rsidRDefault="00B51E24" w:rsidP="00B51E24">
      <w:pPr>
        <w:numPr>
          <w:ilvl w:val="0"/>
          <w:numId w:val="30"/>
        </w:numPr>
        <w:rPr>
          <w:rFonts w:cs="Arial"/>
        </w:rPr>
      </w:pPr>
      <w:r w:rsidRPr="006A3A23">
        <w:rPr>
          <w:rFonts w:cs="Arial"/>
          <w:b/>
          <w:bCs/>
          <w:color w:val="1D2C4C"/>
        </w:rPr>
        <w:t>Human Resources</w:t>
      </w:r>
      <w:r w:rsidRPr="00E47E44">
        <w:rPr>
          <w:rFonts w:cs="Arial"/>
        </w:rPr>
        <w:t>: Focused on employee relations and organizational culture.</w:t>
      </w:r>
    </w:p>
    <w:p w14:paraId="38DFDFBC" w14:textId="77777777" w:rsidR="00E47E44" w:rsidRDefault="00E47E44" w:rsidP="00B51E24">
      <w:pPr>
        <w:rPr>
          <w:rFonts w:cs="Arial"/>
        </w:rPr>
      </w:pPr>
    </w:p>
    <w:p w14:paraId="50E493DA" w14:textId="0252ADBD" w:rsidR="00B51E24" w:rsidRDefault="00B51E24" w:rsidP="00B51E24">
      <w:pPr>
        <w:rPr>
          <w:rFonts w:cs="Arial"/>
        </w:rPr>
      </w:pPr>
      <w:r w:rsidRPr="00E47E44">
        <w:rPr>
          <w:rFonts w:cs="Arial"/>
        </w:rPr>
        <w:t>With the assistance of The Predictive Index and its certified partner, The Cornerstone Group, VSECU implemented PI's Hire solution to redefine their hiring processes. This approach emphasized understanding candidates' behavioral drives and motivators to ensure alignment with specific roles and the organization's culture.</w:t>
      </w:r>
    </w:p>
    <w:p w14:paraId="0BCEF95A" w14:textId="77777777" w:rsidR="00E47E44" w:rsidRPr="00E47E44" w:rsidRDefault="00E47E44" w:rsidP="00B51E24">
      <w:pPr>
        <w:rPr>
          <w:rFonts w:cs="Arial"/>
        </w:rPr>
      </w:pPr>
    </w:p>
    <w:p w14:paraId="6C08F65F" w14:textId="77777777" w:rsidR="00B51E24" w:rsidRPr="00E47E44" w:rsidRDefault="00B51E24" w:rsidP="00B51E24">
      <w:pPr>
        <w:rPr>
          <w:rFonts w:cs="Arial"/>
        </w:rPr>
      </w:pPr>
      <w:r w:rsidRPr="00E47E44">
        <w:rPr>
          <w:rFonts w:cs="Arial"/>
        </w:rPr>
        <w:t>As a result of integrating The Predictive Index into their talent management strategy, VSECU achieved:</w:t>
      </w:r>
    </w:p>
    <w:p w14:paraId="2EE09519" w14:textId="77777777" w:rsidR="00B51E24" w:rsidRPr="00E47E44" w:rsidRDefault="00B51E24" w:rsidP="00E47E44">
      <w:pPr>
        <w:numPr>
          <w:ilvl w:val="0"/>
          <w:numId w:val="33"/>
        </w:numPr>
        <w:rPr>
          <w:rFonts w:cs="Arial"/>
        </w:rPr>
      </w:pPr>
      <w:r w:rsidRPr="006A3A23">
        <w:rPr>
          <w:rFonts w:cs="Arial"/>
          <w:b/>
          <w:bCs/>
          <w:color w:val="1D2C4C"/>
        </w:rPr>
        <w:t>Improved Job Fit</w:t>
      </w:r>
      <w:r w:rsidRPr="00E47E44">
        <w:rPr>
          <w:rFonts w:cs="Arial"/>
        </w:rPr>
        <w:t>: By focusing on behavioral and motivational alignment, employees were better suited to their roles, leading to increased job satisfaction and performance.</w:t>
      </w:r>
    </w:p>
    <w:p w14:paraId="78C499D9" w14:textId="77777777" w:rsidR="00B51E24" w:rsidRPr="00E47E44" w:rsidRDefault="00B51E24" w:rsidP="00E47E44">
      <w:pPr>
        <w:numPr>
          <w:ilvl w:val="0"/>
          <w:numId w:val="33"/>
        </w:numPr>
        <w:rPr>
          <w:rFonts w:cs="Arial"/>
        </w:rPr>
      </w:pPr>
      <w:r w:rsidRPr="006A3A23">
        <w:rPr>
          <w:rFonts w:cs="Arial"/>
          <w:b/>
          <w:bCs/>
          <w:color w:val="1D2C4C"/>
        </w:rPr>
        <w:t>Enhanced Employee Performance</w:t>
      </w:r>
      <w:r w:rsidRPr="00E47E44">
        <w:rPr>
          <w:rFonts w:cs="Arial"/>
        </w:rPr>
        <w:t>: Aligning roles with individual strengths and motivators led to higher levels of employee engagement and productivity.</w:t>
      </w:r>
    </w:p>
    <w:p w14:paraId="294F1BC2" w14:textId="77777777" w:rsidR="00B51E24" w:rsidRPr="00E47E44" w:rsidRDefault="00B51E24" w:rsidP="00E47E44">
      <w:pPr>
        <w:numPr>
          <w:ilvl w:val="0"/>
          <w:numId w:val="33"/>
        </w:numPr>
        <w:rPr>
          <w:rFonts w:cs="Arial"/>
        </w:rPr>
      </w:pPr>
      <w:r w:rsidRPr="006A3A23">
        <w:rPr>
          <w:rFonts w:cs="Arial"/>
          <w:b/>
          <w:bCs/>
          <w:color w:val="1D2C4C"/>
        </w:rPr>
        <w:t>Realignment of Organizational Culture</w:t>
      </w:r>
      <w:r w:rsidRPr="006A3A23">
        <w:rPr>
          <w:rFonts w:cs="Arial"/>
          <w:color w:val="1D2C4C"/>
        </w:rPr>
        <w:t>:</w:t>
      </w:r>
      <w:r w:rsidRPr="00E47E44">
        <w:rPr>
          <w:rFonts w:cs="Arial"/>
        </w:rPr>
        <w:t xml:space="preserve"> The restructuring of HR functions and the emphasis on behavioral insights helped align the organization's culture with its strategic vision.</w:t>
      </w:r>
    </w:p>
    <w:p w14:paraId="1D8A4A20" w14:textId="77777777" w:rsidR="00E47E44" w:rsidRDefault="00E47E44" w:rsidP="00B51E24">
      <w:pPr>
        <w:rPr>
          <w:rFonts w:cs="Arial"/>
        </w:rPr>
      </w:pPr>
    </w:p>
    <w:p w14:paraId="5AE8BA1E" w14:textId="1B0803E6" w:rsidR="00B51E24" w:rsidRDefault="00B51E24" w:rsidP="00B51E24">
      <w:pPr>
        <w:rPr>
          <w:rFonts w:cs="Arial"/>
        </w:rPr>
      </w:pPr>
      <w:r w:rsidRPr="00E47E44">
        <w:rPr>
          <w:rFonts w:cs="Arial"/>
        </w:rPr>
        <w:t>This case study demonstrates how The Predictive Index can be instrumental in transforming hiring practices, aligning organizational culture, and ultimately reducing turnover by ensuring employees are well-matched to their roles and the broader organizational environment.</w:t>
      </w:r>
    </w:p>
    <w:p w14:paraId="1D888FF9" w14:textId="77777777" w:rsidR="00E47E44" w:rsidRPr="00E47E44" w:rsidRDefault="00E47E44" w:rsidP="00B51E24">
      <w:pPr>
        <w:rPr>
          <w:rFonts w:cs="Arial"/>
        </w:rPr>
      </w:pPr>
    </w:p>
    <w:p w14:paraId="2D38E62B" w14:textId="77777777" w:rsidR="00B51E24" w:rsidRPr="006A3A23" w:rsidRDefault="00B51E24" w:rsidP="00B51E24">
      <w:pPr>
        <w:rPr>
          <w:rFonts w:cs="Arial"/>
          <w:b/>
          <w:bCs/>
          <w:color w:val="1D2C4C"/>
          <w:sz w:val="28"/>
          <w:szCs w:val="28"/>
        </w:rPr>
      </w:pPr>
      <w:r w:rsidRPr="006A3A23">
        <w:rPr>
          <w:rFonts w:cs="Arial"/>
          <w:b/>
          <w:bCs/>
          <w:color w:val="1D2C4C"/>
          <w:sz w:val="28"/>
          <w:szCs w:val="28"/>
        </w:rPr>
        <w:t>Conclusion</w:t>
      </w:r>
    </w:p>
    <w:p w14:paraId="2B309862" w14:textId="77777777" w:rsidR="00E47E44" w:rsidRPr="000169D0" w:rsidRDefault="00E47E44" w:rsidP="00B51E24">
      <w:pPr>
        <w:rPr>
          <w:rFonts w:cs="Arial"/>
          <w:b/>
          <w:bCs/>
          <w:sz w:val="28"/>
          <w:szCs w:val="28"/>
        </w:rPr>
      </w:pPr>
    </w:p>
    <w:p w14:paraId="7AE2CE38" w14:textId="77777777" w:rsidR="00B51E24" w:rsidRPr="00E47E44" w:rsidRDefault="00B51E24" w:rsidP="00B51E24">
      <w:pPr>
        <w:rPr>
          <w:rFonts w:cs="Arial"/>
        </w:rPr>
      </w:pPr>
      <w:r w:rsidRPr="00E47E44">
        <w:rPr>
          <w:rFonts w:cs="Arial"/>
        </w:rPr>
        <w:t>High turnover disrupts business operations, but with The Predictive Index, organizations can predict and prevent it effectively. By integrating data-driven insights into hiring, engagement, and leadership development, organizations can create a workplace where employees thrive and stay for the long term.</w:t>
      </w:r>
    </w:p>
    <w:p w14:paraId="0EECD5D6" w14:textId="77777777" w:rsidR="00E47E44" w:rsidRPr="00E47E44" w:rsidRDefault="00E47E44" w:rsidP="00B51E24">
      <w:pPr>
        <w:rPr>
          <w:rFonts w:cs="Arial"/>
        </w:rPr>
      </w:pPr>
    </w:p>
    <w:p w14:paraId="6A0E28F0" w14:textId="77777777" w:rsidR="00B51E24" w:rsidRPr="00E47E44" w:rsidRDefault="00B51E24" w:rsidP="00B51E24">
      <w:pPr>
        <w:rPr>
          <w:rFonts w:cs="Arial"/>
        </w:rPr>
      </w:pPr>
      <w:r w:rsidRPr="00E47E44">
        <w:rPr>
          <w:rFonts w:cs="Arial"/>
        </w:rPr>
        <w:t xml:space="preserve">Invest in </w:t>
      </w:r>
      <w:hyperlink r:id="rId9" w:history="1">
        <w:r w:rsidRPr="00E47E44">
          <w:rPr>
            <w:rStyle w:val="Hyperlink"/>
            <w:rFonts w:cs="Arial"/>
          </w:rPr>
          <w:t>The Predictive Index</w:t>
        </w:r>
      </w:hyperlink>
      <w:r w:rsidRPr="00E47E44">
        <w:rPr>
          <w:rFonts w:cs="Arial"/>
        </w:rPr>
        <w:t xml:space="preserve"> today to build a more stable, productive, and engaged workforce. Start transforming your retention strategy now.</w:t>
      </w:r>
    </w:p>
    <w:p w14:paraId="03B2FF77" w14:textId="77777777" w:rsidR="00B51E24" w:rsidRDefault="00B51E24" w:rsidP="002948E7">
      <w:pPr>
        <w:rPr>
          <w:rFonts w:cs="Arial"/>
        </w:rPr>
      </w:pPr>
    </w:p>
    <w:p w14:paraId="10835DE6" w14:textId="77777777" w:rsidR="00B51E24" w:rsidRDefault="00B51E24" w:rsidP="002948E7">
      <w:pPr>
        <w:rPr>
          <w:rFonts w:cs="Arial"/>
        </w:rPr>
      </w:pPr>
    </w:p>
    <w:p w14:paraId="50B8F014" w14:textId="77777777" w:rsidR="00B51E24" w:rsidRDefault="00B51E24" w:rsidP="002948E7">
      <w:pPr>
        <w:rPr>
          <w:rFonts w:cs="Arial"/>
        </w:rPr>
      </w:pPr>
    </w:p>
    <w:p w14:paraId="0EDA8A7E" w14:textId="77777777" w:rsidR="00A46185" w:rsidRDefault="00A46185" w:rsidP="000C0859"/>
    <w:sectPr w:rsidR="00A46185" w:rsidSect="001B584B">
      <w:footerReference w:type="default" r:id="rId10"/>
      <w:pgSz w:w="12240" w:h="15840"/>
      <w:pgMar w:top="720" w:right="864" w:bottom="72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74441" w14:textId="77777777" w:rsidR="00F312F2" w:rsidRDefault="00F312F2" w:rsidP="00E31BE3">
      <w:pPr>
        <w:spacing w:line="240" w:lineRule="auto"/>
      </w:pPr>
      <w:r>
        <w:separator/>
      </w:r>
    </w:p>
  </w:endnote>
  <w:endnote w:type="continuationSeparator" w:id="0">
    <w:p w14:paraId="221BA2B5" w14:textId="77777777" w:rsidR="00F312F2" w:rsidRDefault="00F312F2"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0A7BD" w14:textId="193CA2CF"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00BE43DF">
      <w:rPr>
        <w:b/>
        <w:bCs/>
        <w:color w:val="1D2C4C"/>
      </w:rPr>
      <w:t>info</w:t>
    </w:r>
    <w:r w:rsidRPr="00E31BE3">
      <w:rPr>
        <w:b/>
        <w:bCs/>
        <w:color w:val="1D2C4C"/>
      </w:rPr>
      <w:t>@cascadeemployers.com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117E0" w14:textId="77777777" w:rsidR="00F312F2" w:rsidRDefault="00F312F2" w:rsidP="00E31BE3">
      <w:pPr>
        <w:spacing w:line="240" w:lineRule="auto"/>
      </w:pPr>
      <w:r>
        <w:separator/>
      </w:r>
    </w:p>
  </w:footnote>
  <w:footnote w:type="continuationSeparator" w:id="0">
    <w:p w14:paraId="26C159CA" w14:textId="77777777" w:rsidR="00F312F2" w:rsidRDefault="00F312F2" w:rsidP="00E31BE3">
      <w:pPr>
        <w:spacing w:line="240" w:lineRule="auto"/>
      </w:pPr>
      <w:r>
        <w:continuationSeparator/>
      </w:r>
    </w:p>
  </w:footnote>
  <w:footnote w:id="1">
    <w:p w14:paraId="5039EE63" w14:textId="53E25C49" w:rsidR="00B51E24" w:rsidRPr="006A3A23" w:rsidRDefault="00B51E24" w:rsidP="00B51E24">
      <w:pPr>
        <w:pStyle w:val="FootnoteText"/>
        <w:rPr>
          <w:rFonts w:ascii="Arial" w:hAnsi="Arial" w:cs="Arial"/>
        </w:rPr>
      </w:pPr>
      <w:r w:rsidRPr="006A3A23">
        <w:rPr>
          <w:rStyle w:val="FootnoteReference"/>
          <w:rFonts w:ascii="Arial" w:hAnsi="Arial" w:cs="Arial"/>
        </w:rPr>
        <w:footnoteRef/>
      </w:r>
      <w:r w:rsidRPr="006A3A23">
        <w:rPr>
          <w:rFonts w:ascii="Arial" w:hAnsi="Arial" w:cs="Arial"/>
        </w:rPr>
        <w:t xml:space="preserve"> </w:t>
      </w:r>
      <w:hyperlink r:id="rId1" w:history="1">
        <w:r w:rsidR="00E47E44" w:rsidRPr="006A3A23">
          <w:rPr>
            <w:rStyle w:val="Hyperlink"/>
            <w:rFonts w:ascii="Arial" w:hAnsi="Arial" w:cs="Arial"/>
          </w:rPr>
          <w:t>https://www.gallup.com/workplace/646538/employee-turnover-preventable-often-ignored.aspx</w:t>
        </w:r>
      </w:hyperlink>
    </w:p>
    <w:p w14:paraId="196D9681" w14:textId="77777777" w:rsidR="00E47E44" w:rsidRDefault="00E47E44" w:rsidP="00B51E24">
      <w:pPr>
        <w:pStyle w:val="FootnoteText"/>
      </w:pPr>
    </w:p>
  </w:footnote>
  <w:footnote w:id="2">
    <w:p w14:paraId="508820AF" w14:textId="48D332C9" w:rsidR="00B51E24" w:rsidRPr="006A3A23" w:rsidRDefault="00B51E24" w:rsidP="00B51E24">
      <w:pPr>
        <w:pStyle w:val="FootnoteText"/>
        <w:rPr>
          <w:rFonts w:ascii="Arial" w:hAnsi="Arial" w:cs="Arial"/>
        </w:rPr>
      </w:pPr>
      <w:r w:rsidRPr="006A3A23">
        <w:rPr>
          <w:rStyle w:val="FootnoteReference"/>
          <w:rFonts w:ascii="Arial" w:hAnsi="Arial" w:cs="Arial"/>
        </w:rPr>
        <w:footnoteRef/>
      </w:r>
      <w:r w:rsidRPr="006A3A23">
        <w:rPr>
          <w:rFonts w:ascii="Arial" w:hAnsi="Arial" w:cs="Arial"/>
        </w:rPr>
        <w:t xml:space="preserve"> </w:t>
      </w:r>
      <w:hyperlink r:id="rId2" w:history="1">
        <w:r w:rsidR="006A3A23" w:rsidRPr="006A3A23">
          <w:rPr>
            <w:rStyle w:val="Hyperlink"/>
            <w:rFonts w:ascii="Arial" w:hAnsi="Arial" w:cs="Arial"/>
          </w:rPr>
          <w:t>https://innosource.com/2024/03/14/the-cost-of-turnover/</w:t>
        </w:r>
      </w:hyperlink>
    </w:p>
    <w:p w14:paraId="57130E6E" w14:textId="77777777" w:rsidR="006A3A23" w:rsidRDefault="006A3A23" w:rsidP="00B51E24">
      <w:pPr>
        <w:pStyle w:val="FootnoteText"/>
      </w:pPr>
    </w:p>
  </w:footnote>
  <w:footnote w:id="3">
    <w:p w14:paraId="115ABB49" w14:textId="57F773A2" w:rsidR="00B51E24" w:rsidRPr="006A3A23" w:rsidRDefault="00B51E24" w:rsidP="00B51E24">
      <w:pPr>
        <w:pStyle w:val="FootnoteText"/>
        <w:rPr>
          <w:rFonts w:ascii="Arial" w:hAnsi="Arial" w:cs="Arial"/>
        </w:rPr>
      </w:pPr>
      <w:r w:rsidRPr="006A3A23">
        <w:rPr>
          <w:rStyle w:val="FootnoteReference"/>
          <w:rFonts w:ascii="Arial" w:hAnsi="Arial" w:cs="Arial"/>
        </w:rPr>
        <w:footnoteRef/>
      </w:r>
      <w:r w:rsidRPr="006A3A23">
        <w:rPr>
          <w:rFonts w:ascii="Arial" w:hAnsi="Arial" w:cs="Arial"/>
        </w:rPr>
        <w:t xml:space="preserve"> </w:t>
      </w:r>
      <w:hyperlink r:id="rId3" w:history="1">
        <w:r w:rsidR="00E47E44" w:rsidRPr="006A3A23">
          <w:rPr>
            <w:rStyle w:val="Hyperlink"/>
            <w:rFonts w:ascii="Arial" w:hAnsi="Arial" w:cs="Arial"/>
          </w:rPr>
          <w:t>https://www.predictiveindex.com/company/customer-stories/</w:t>
        </w:r>
      </w:hyperlink>
    </w:p>
    <w:p w14:paraId="3BB38A2E" w14:textId="77777777" w:rsidR="00E47E44" w:rsidRDefault="00E47E44" w:rsidP="00B51E24">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618"/>
    <w:multiLevelType w:val="multilevel"/>
    <w:tmpl w:val="55B2F304"/>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96360E"/>
    <w:multiLevelType w:val="multilevel"/>
    <w:tmpl w:val="D9E275CE"/>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6C1CAB"/>
    <w:multiLevelType w:val="multilevel"/>
    <w:tmpl w:val="A9B4F190"/>
    <w:lvl w:ilvl="0">
      <w:start w:val="1"/>
      <w:numFmt w:val="bullet"/>
      <w:lvlText w:val=""/>
      <w:lvlJc w:val="left"/>
      <w:pPr>
        <w:tabs>
          <w:tab w:val="num" w:pos="720"/>
        </w:tabs>
        <w:ind w:left="720" w:hanging="360"/>
      </w:pPr>
      <w:rPr>
        <w:rFonts w:ascii="Wingdings" w:hAnsi="Wingdings" w:hint="default"/>
        <w:color w:val="1D2C4C"/>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B007D9"/>
    <w:multiLevelType w:val="hybridMultilevel"/>
    <w:tmpl w:val="972CE48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041495C"/>
    <w:multiLevelType w:val="multilevel"/>
    <w:tmpl w:val="758E4D7E"/>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DD27B8"/>
    <w:multiLevelType w:val="hybridMultilevel"/>
    <w:tmpl w:val="46EEA9F0"/>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5D54B1"/>
    <w:multiLevelType w:val="hybridMultilevel"/>
    <w:tmpl w:val="011A94C0"/>
    <w:lvl w:ilvl="0" w:tplc="0396E57E">
      <w:start w:val="1"/>
      <w:numFmt w:val="bullet"/>
      <w:lvlText w:val=""/>
      <w:lvlJc w:val="left"/>
      <w:pPr>
        <w:ind w:left="768" w:hanging="360"/>
      </w:pPr>
      <w:rPr>
        <w:rFonts w:ascii="Wingdings" w:hAnsi="Wingdings" w:hint="default"/>
        <w:color w:val="1D2C4C"/>
        <w:sz w:val="22"/>
      </w:rPr>
    </w:lvl>
    <w:lvl w:ilvl="1" w:tplc="FFFFFFFF" w:tentative="1">
      <w:start w:val="1"/>
      <w:numFmt w:val="bullet"/>
      <w:lvlText w:val="o"/>
      <w:lvlJc w:val="left"/>
      <w:pPr>
        <w:ind w:left="1488" w:hanging="360"/>
      </w:pPr>
      <w:rPr>
        <w:rFonts w:ascii="Courier New" w:hAnsi="Courier New" w:cs="Courier New" w:hint="default"/>
      </w:rPr>
    </w:lvl>
    <w:lvl w:ilvl="2" w:tplc="FFFFFFFF" w:tentative="1">
      <w:start w:val="1"/>
      <w:numFmt w:val="bullet"/>
      <w:lvlText w:val=""/>
      <w:lvlJc w:val="left"/>
      <w:pPr>
        <w:ind w:left="2208" w:hanging="360"/>
      </w:pPr>
      <w:rPr>
        <w:rFonts w:ascii="Wingdings" w:hAnsi="Wingdings" w:hint="default"/>
      </w:rPr>
    </w:lvl>
    <w:lvl w:ilvl="3" w:tplc="FFFFFFFF" w:tentative="1">
      <w:start w:val="1"/>
      <w:numFmt w:val="bullet"/>
      <w:lvlText w:val=""/>
      <w:lvlJc w:val="left"/>
      <w:pPr>
        <w:ind w:left="2928" w:hanging="360"/>
      </w:pPr>
      <w:rPr>
        <w:rFonts w:ascii="Symbol" w:hAnsi="Symbol" w:hint="default"/>
      </w:rPr>
    </w:lvl>
    <w:lvl w:ilvl="4" w:tplc="FFFFFFFF" w:tentative="1">
      <w:start w:val="1"/>
      <w:numFmt w:val="bullet"/>
      <w:lvlText w:val="o"/>
      <w:lvlJc w:val="left"/>
      <w:pPr>
        <w:ind w:left="3648" w:hanging="360"/>
      </w:pPr>
      <w:rPr>
        <w:rFonts w:ascii="Courier New" w:hAnsi="Courier New" w:cs="Courier New" w:hint="default"/>
      </w:rPr>
    </w:lvl>
    <w:lvl w:ilvl="5" w:tplc="FFFFFFFF" w:tentative="1">
      <w:start w:val="1"/>
      <w:numFmt w:val="bullet"/>
      <w:lvlText w:val=""/>
      <w:lvlJc w:val="left"/>
      <w:pPr>
        <w:ind w:left="4368" w:hanging="360"/>
      </w:pPr>
      <w:rPr>
        <w:rFonts w:ascii="Wingdings" w:hAnsi="Wingdings" w:hint="default"/>
      </w:rPr>
    </w:lvl>
    <w:lvl w:ilvl="6" w:tplc="FFFFFFFF" w:tentative="1">
      <w:start w:val="1"/>
      <w:numFmt w:val="bullet"/>
      <w:lvlText w:val=""/>
      <w:lvlJc w:val="left"/>
      <w:pPr>
        <w:ind w:left="5088" w:hanging="360"/>
      </w:pPr>
      <w:rPr>
        <w:rFonts w:ascii="Symbol" w:hAnsi="Symbol" w:hint="default"/>
      </w:rPr>
    </w:lvl>
    <w:lvl w:ilvl="7" w:tplc="FFFFFFFF" w:tentative="1">
      <w:start w:val="1"/>
      <w:numFmt w:val="bullet"/>
      <w:lvlText w:val="o"/>
      <w:lvlJc w:val="left"/>
      <w:pPr>
        <w:ind w:left="5808" w:hanging="360"/>
      </w:pPr>
      <w:rPr>
        <w:rFonts w:ascii="Courier New" w:hAnsi="Courier New" w:cs="Courier New" w:hint="default"/>
      </w:rPr>
    </w:lvl>
    <w:lvl w:ilvl="8" w:tplc="FFFFFFFF" w:tentative="1">
      <w:start w:val="1"/>
      <w:numFmt w:val="bullet"/>
      <w:lvlText w:val=""/>
      <w:lvlJc w:val="left"/>
      <w:pPr>
        <w:ind w:left="6528" w:hanging="360"/>
      </w:pPr>
      <w:rPr>
        <w:rFonts w:ascii="Wingdings" w:hAnsi="Wingdings" w:hint="default"/>
      </w:rPr>
    </w:lvl>
  </w:abstractNum>
  <w:abstractNum w:abstractNumId="7" w15:restartNumberingAfterBreak="0">
    <w:nsid w:val="17CB7216"/>
    <w:multiLevelType w:val="multilevel"/>
    <w:tmpl w:val="23FC081E"/>
    <w:lvl w:ilvl="0">
      <w:start w:val="1"/>
      <w:numFmt w:val="bullet"/>
      <w:lvlText w:val=""/>
      <w:lvlJc w:val="left"/>
      <w:pPr>
        <w:tabs>
          <w:tab w:val="num" w:pos="720"/>
        </w:tabs>
        <w:ind w:left="720" w:hanging="360"/>
      </w:pPr>
      <w:rPr>
        <w:rFonts w:ascii="Wingdings" w:hAnsi="Wingdings" w:hint="default"/>
        <w:color w:val="1D2C4C"/>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0124DC"/>
    <w:multiLevelType w:val="multilevel"/>
    <w:tmpl w:val="6C78AE28"/>
    <w:lvl w:ilvl="0">
      <w:start w:val="1"/>
      <w:numFmt w:val="decimal"/>
      <w:lvlText w:val="%1."/>
      <w:lvlJc w:val="left"/>
      <w:pPr>
        <w:tabs>
          <w:tab w:val="num" w:pos="720"/>
        </w:tabs>
        <w:ind w:left="720" w:hanging="360"/>
      </w:pPr>
      <w:rPr>
        <w:rFonts w:ascii="Arial" w:hAnsi="Arial" w:cs="Arial" w:hint="default"/>
        <w:b/>
        <w:bCs/>
        <w:color w:val="1D2C4C"/>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925A3"/>
    <w:multiLevelType w:val="multilevel"/>
    <w:tmpl w:val="68BC57D6"/>
    <w:lvl w:ilvl="0">
      <w:start w:val="1"/>
      <w:numFmt w:val="decimal"/>
      <w:lvlText w:val="%1."/>
      <w:lvlJc w:val="left"/>
      <w:pPr>
        <w:tabs>
          <w:tab w:val="num" w:pos="720"/>
        </w:tabs>
        <w:ind w:left="720" w:hanging="360"/>
      </w:pPr>
      <w:rPr>
        <w:rFonts w:ascii="Arial" w:hAnsi="Arial" w:cs="Arial" w:hint="default"/>
        <w:b/>
        <w:bCs/>
        <w:color w:val="1D2C4C"/>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BA596C"/>
    <w:multiLevelType w:val="hybridMultilevel"/>
    <w:tmpl w:val="E5C0925E"/>
    <w:lvl w:ilvl="0" w:tplc="030C3C72">
      <w:start w:val="1"/>
      <w:numFmt w:val="bullet"/>
      <w:lvlText w:val=""/>
      <w:lvlJc w:val="left"/>
      <w:pPr>
        <w:ind w:left="720" w:hanging="360"/>
      </w:pPr>
      <w:rPr>
        <w:rFonts w:ascii="Wingdings" w:hAnsi="Wingdings" w:hint="default"/>
        <w:color w:val="1D2C4C"/>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C911D0"/>
    <w:multiLevelType w:val="multilevel"/>
    <w:tmpl w:val="1946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649FE"/>
    <w:multiLevelType w:val="hybridMultilevel"/>
    <w:tmpl w:val="96163F66"/>
    <w:lvl w:ilvl="0" w:tplc="B4F0CE46">
      <w:start w:val="1"/>
      <w:numFmt w:val="bullet"/>
      <w:lvlText w:val=""/>
      <w:lvlJc w:val="left"/>
      <w:pPr>
        <w:ind w:left="720" w:hanging="360"/>
      </w:pPr>
      <w:rPr>
        <w:rFonts w:ascii="Wingdings" w:hAnsi="Wingdings" w:hint="default"/>
        <w:color w:val="1D2C4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FF0E03"/>
    <w:multiLevelType w:val="multilevel"/>
    <w:tmpl w:val="F3464962"/>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BC24FC"/>
    <w:multiLevelType w:val="multilevel"/>
    <w:tmpl w:val="14BCA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06DA0"/>
    <w:multiLevelType w:val="multilevel"/>
    <w:tmpl w:val="D568ADD2"/>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66AA7"/>
    <w:multiLevelType w:val="multilevel"/>
    <w:tmpl w:val="20CCA33E"/>
    <w:lvl w:ilvl="0">
      <w:start w:val="1"/>
      <w:numFmt w:val="bullet"/>
      <w:lvlText w:val=""/>
      <w:lvlJc w:val="left"/>
      <w:pPr>
        <w:tabs>
          <w:tab w:val="num" w:pos="720"/>
        </w:tabs>
        <w:ind w:left="720" w:hanging="360"/>
      </w:pPr>
      <w:rPr>
        <w:rFonts w:ascii="Wingdings" w:hAnsi="Wingdings" w:hint="default"/>
        <w:color w:val="1D2C4C"/>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7355F5"/>
    <w:multiLevelType w:val="multilevel"/>
    <w:tmpl w:val="D846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A57E74"/>
    <w:multiLevelType w:val="multilevel"/>
    <w:tmpl w:val="4B3236EE"/>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B7517E"/>
    <w:multiLevelType w:val="hybridMultilevel"/>
    <w:tmpl w:val="DC7CFC04"/>
    <w:lvl w:ilvl="0" w:tplc="FFFFFFFF">
      <w:start w:val="1"/>
      <w:numFmt w:val="bullet"/>
      <w:lvlText w:val=""/>
      <w:lvlJc w:val="left"/>
      <w:pPr>
        <w:ind w:left="720" w:hanging="360"/>
      </w:pPr>
      <w:rPr>
        <w:rFonts w:ascii="Symbol" w:hAnsi="Symbol" w:hint="default"/>
      </w:rPr>
    </w:lvl>
    <w:lvl w:ilvl="1" w:tplc="CF7693C6">
      <w:start w:val="1"/>
      <w:numFmt w:val="bullet"/>
      <w:lvlText w:val="o"/>
      <w:lvlJc w:val="left"/>
      <w:pPr>
        <w:ind w:left="1440" w:hanging="360"/>
      </w:pPr>
      <w:rPr>
        <w:rFonts w:ascii="Courier New" w:hAnsi="Courier New"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BD5EF4"/>
    <w:multiLevelType w:val="hybridMultilevel"/>
    <w:tmpl w:val="B7C6D5D0"/>
    <w:lvl w:ilvl="0" w:tplc="0396E57E">
      <w:start w:val="1"/>
      <w:numFmt w:val="bullet"/>
      <w:lvlText w:val=""/>
      <w:lvlJc w:val="left"/>
      <w:pPr>
        <w:ind w:left="720" w:hanging="360"/>
      </w:pPr>
      <w:rPr>
        <w:rFonts w:ascii="Wingdings" w:hAnsi="Wingdings" w:hint="default"/>
        <w:color w:val="1D2C4C"/>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5B74E30"/>
    <w:multiLevelType w:val="multilevel"/>
    <w:tmpl w:val="A80EA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644526"/>
    <w:multiLevelType w:val="hybridMultilevel"/>
    <w:tmpl w:val="F404FA6C"/>
    <w:lvl w:ilvl="0" w:tplc="0396E57E">
      <w:start w:val="1"/>
      <w:numFmt w:val="bullet"/>
      <w:lvlText w:val=""/>
      <w:lvlJc w:val="left"/>
      <w:pPr>
        <w:ind w:left="720" w:hanging="360"/>
      </w:pPr>
      <w:rPr>
        <w:rFonts w:ascii="Wingdings" w:hAnsi="Wingdings" w:hint="default"/>
        <w:color w:val="1D2C4C"/>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AA08BE"/>
    <w:multiLevelType w:val="multilevel"/>
    <w:tmpl w:val="41027CDE"/>
    <w:lvl w:ilvl="0">
      <w:numFmt w:val="bullet"/>
      <w:lvlText w:val=""/>
      <w:lvlJc w:val="left"/>
      <w:pPr>
        <w:tabs>
          <w:tab w:val="num" w:pos="720"/>
        </w:tabs>
        <w:ind w:left="720" w:hanging="360"/>
      </w:pPr>
      <w:rPr>
        <w:rFonts w:ascii="Wingdings" w:hAnsi="Wingdings" w:cs="Wingdings" w:hint="default"/>
        <w:color w:val="1D2C4C"/>
        <w:w w:val="99"/>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272C00"/>
    <w:multiLevelType w:val="multilevel"/>
    <w:tmpl w:val="BB485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726539"/>
    <w:multiLevelType w:val="hybridMultilevel"/>
    <w:tmpl w:val="3490ED38"/>
    <w:lvl w:ilvl="0" w:tplc="0A665C0C">
      <w:start w:val="1"/>
      <w:numFmt w:val="decimal"/>
      <w:lvlText w:val="%1."/>
      <w:lvlJc w:val="left"/>
      <w:pPr>
        <w:ind w:left="720" w:hanging="360"/>
      </w:pPr>
      <w:rPr>
        <w:rFonts w:ascii="Arial" w:hAnsi="Arial" w:cs="Arial" w:hint="default"/>
        <w:b/>
        <w:bCs/>
        <w:color w:val="1D2C4C"/>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1A7E71"/>
    <w:multiLevelType w:val="multilevel"/>
    <w:tmpl w:val="3648ED38"/>
    <w:lvl w:ilvl="0">
      <w:start w:val="1"/>
      <w:numFmt w:val="bullet"/>
      <w:lvlText w:val=""/>
      <w:lvlJc w:val="left"/>
      <w:pPr>
        <w:tabs>
          <w:tab w:val="num" w:pos="720"/>
        </w:tabs>
        <w:ind w:left="720" w:hanging="360"/>
      </w:pPr>
      <w:rPr>
        <w:rFonts w:ascii="Wingdings" w:hAnsi="Wingdings" w:hint="default"/>
        <w:color w:val="1D2C4C"/>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5B56DA"/>
    <w:multiLevelType w:val="hybridMultilevel"/>
    <w:tmpl w:val="5F081932"/>
    <w:lvl w:ilvl="0" w:tplc="B4F0CE46">
      <w:start w:val="1"/>
      <w:numFmt w:val="bullet"/>
      <w:lvlText w:val=""/>
      <w:lvlJc w:val="left"/>
      <w:pPr>
        <w:ind w:left="720" w:hanging="360"/>
      </w:pPr>
      <w:rPr>
        <w:rFonts w:ascii="Wingdings" w:hAnsi="Wingdings" w:hint="default"/>
        <w:color w:val="1D2C4C"/>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D9D1BFB"/>
    <w:multiLevelType w:val="hybridMultilevel"/>
    <w:tmpl w:val="5B0C2CD4"/>
    <w:lvl w:ilvl="0" w:tplc="0A665C0C">
      <w:start w:val="1"/>
      <w:numFmt w:val="decimal"/>
      <w:lvlText w:val="%1."/>
      <w:lvlJc w:val="left"/>
      <w:pPr>
        <w:ind w:left="720" w:hanging="360"/>
      </w:pPr>
      <w:rPr>
        <w:rFonts w:ascii="Arial" w:hAnsi="Arial" w:cs="Arial" w:hint="default"/>
        <w:b/>
        <w:bCs/>
        <w:color w:val="1D2C4C"/>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F13D22"/>
    <w:multiLevelType w:val="multilevel"/>
    <w:tmpl w:val="2866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F743EDC"/>
    <w:multiLevelType w:val="multilevel"/>
    <w:tmpl w:val="858EF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5E7B70"/>
    <w:multiLevelType w:val="multilevel"/>
    <w:tmpl w:val="7964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727062B"/>
    <w:multiLevelType w:val="multilevel"/>
    <w:tmpl w:val="45ECCC68"/>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5A2C02"/>
    <w:multiLevelType w:val="hybridMultilevel"/>
    <w:tmpl w:val="08DA0876"/>
    <w:lvl w:ilvl="0" w:tplc="0A665C0C">
      <w:start w:val="1"/>
      <w:numFmt w:val="decimal"/>
      <w:lvlText w:val="%1."/>
      <w:lvlJc w:val="left"/>
      <w:pPr>
        <w:ind w:left="720" w:hanging="360"/>
      </w:pPr>
      <w:rPr>
        <w:rFonts w:ascii="Arial" w:hAnsi="Arial" w:cs="Arial" w:hint="default"/>
        <w:b/>
        <w:bCs/>
        <w:color w:val="1D2C4C"/>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DF4C53"/>
    <w:multiLevelType w:val="hybridMultilevel"/>
    <w:tmpl w:val="31469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EB0CCD"/>
    <w:multiLevelType w:val="multilevel"/>
    <w:tmpl w:val="F5AEC63E"/>
    <w:lvl w:ilvl="0">
      <w:start w:val="1"/>
      <w:numFmt w:val="bullet"/>
      <w:lvlText w:val=""/>
      <w:lvlJc w:val="left"/>
      <w:pPr>
        <w:tabs>
          <w:tab w:val="num" w:pos="720"/>
        </w:tabs>
        <w:ind w:left="720" w:hanging="360"/>
      </w:pPr>
      <w:rPr>
        <w:rFonts w:ascii="Wingdings" w:hAnsi="Wingdings" w:hint="default"/>
        <w:color w:val="1D2C4C"/>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0751904"/>
    <w:multiLevelType w:val="multilevel"/>
    <w:tmpl w:val="BA42EED8"/>
    <w:lvl w:ilvl="0">
      <w:start w:val="1"/>
      <w:numFmt w:val="bullet"/>
      <w:lvlText w:val=""/>
      <w:lvlJc w:val="left"/>
      <w:pPr>
        <w:tabs>
          <w:tab w:val="num" w:pos="720"/>
        </w:tabs>
        <w:ind w:left="720" w:hanging="360"/>
      </w:pPr>
      <w:rPr>
        <w:rFonts w:ascii="Wingdings" w:hAnsi="Wingdings" w:hint="default"/>
        <w:color w:val="1D2C4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8C5C3E"/>
    <w:multiLevelType w:val="hybridMultilevel"/>
    <w:tmpl w:val="07A6C502"/>
    <w:lvl w:ilvl="0" w:tplc="B4F0CE46">
      <w:start w:val="1"/>
      <w:numFmt w:val="bullet"/>
      <w:lvlText w:val=""/>
      <w:lvlJc w:val="left"/>
      <w:pPr>
        <w:ind w:left="1080" w:hanging="360"/>
      </w:pPr>
      <w:rPr>
        <w:rFonts w:ascii="Wingdings" w:hAnsi="Wingdings" w:hint="default"/>
        <w:color w:val="1D2C4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3CF2CAF"/>
    <w:multiLevelType w:val="hybridMultilevel"/>
    <w:tmpl w:val="F64C4EA4"/>
    <w:lvl w:ilvl="0" w:tplc="0A665C0C">
      <w:start w:val="1"/>
      <w:numFmt w:val="decimal"/>
      <w:lvlText w:val="%1."/>
      <w:lvlJc w:val="left"/>
      <w:pPr>
        <w:ind w:left="1440" w:hanging="360"/>
      </w:pPr>
      <w:rPr>
        <w:rFonts w:ascii="Arial" w:hAnsi="Arial" w:cs="Arial" w:hint="default"/>
        <w:b/>
        <w:bCs/>
        <w:color w:val="1D2C4C"/>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49254B2"/>
    <w:multiLevelType w:val="hybridMultilevel"/>
    <w:tmpl w:val="F4983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C9C4410"/>
    <w:multiLevelType w:val="hybridMultilevel"/>
    <w:tmpl w:val="4E12879E"/>
    <w:lvl w:ilvl="0" w:tplc="0396E57E">
      <w:start w:val="1"/>
      <w:numFmt w:val="bullet"/>
      <w:lvlText w:val=""/>
      <w:lvlJc w:val="left"/>
      <w:pPr>
        <w:ind w:left="720" w:hanging="360"/>
      </w:pPr>
      <w:rPr>
        <w:rFonts w:ascii="Wingdings" w:hAnsi="Wingdings" w:hint="default"/>
        <w:color w:val="1D2C4C"/>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7368362">
    <w:abstractNumId w:val="23"/>
  </w:num>
  <w:num w:numId="2" w16cid:durableId="951012629">
    <w:abstractNumId w:val="0"/>
  </w:num>
  <w:num w:numId="3" w16cid:durableId="1993174791">
    <w:abstractNumId w:val="18"/>
  </w:num>
  <w:num w:numId="4" w16cid:durableId="7366167">
    <w:abstractNumId w:val="4"/>
  </w:num>
  <w:num w:numId="5" w16cid:durableId="1450079665">
    <w:abstractNumId w:val="15"/>
  </w:num>
  <w:num w:numId="6" w16cid:durableId="1203372214">
    <w:abstractNumId w:val="37"/>
  </w:num>
  <w:num w:numId="7" w16cid:durableId="697857099">
    <w:abstractNumId w:val="12"/>
  </w:num>
  <w:num w:numId="8" w16cid:durableId="1451246893">
    <w:abstractNumId w:val="32"/>
  </w:num>
  <w:num w:numId="9" w16cid:durableId="1921408922">
    <w:abstractNumId w:val="1"/>
  </w:num>
  <w:num w:numId="10" w16cid:durableId="873464931">
    <w:abstractNumId w:val="13"/>
  </w:num>
  <w:num w:numId="11" w16cid:durableId="1974603702">
    <w:abstractNumId w:val="36"/>
  </w:num>
  <w:num w:numId="12" w16cid:durableId="690297581">
    <w:abstractNumId w:val="27"/>
  </w:num>
  <w:num w:numId="13" w16cid:durableId="1990748294">
    <w:abstractNumId w:val="5"/>
  </w:num>
  <w:num w:numId="14" w16cid:durableId="1417363459">
    <w:abstractNumId w:val="10"/>
  </w:num>
  <w:num w:numId="15" w16cid:durableId="1721443847">
    <w:abstractNumId w:val="40"/>
  </w:num>
  <w:num w:numId="16" w16cid:durableId="1176462766">
    <w:abstractNumId w:val="16"/>
  </w:num>
  <w:num w:numId="17" w16cid:durableId="2132240085">
    <w:abstractNumId w:val="22"/>
  </w:num>
  <w:num w:numId="18" w16cid:durableId="1177229993">
    <w:abstractNumId w:val="6"/>
  </w:num>
  <w:num w:numId="19" w16cid:durableId="202208099">
    <w:abstractNumId w:val="20"/>
  </w:num>
  <w:num w:numId="20" w16cid:durableId="74910035">
    <w:abstractNumId w:val="19"/>
  </w:num>
  <w:num w:numId="21" w16cid:durableId="567768486">
    <w:abstractNumId w:val="17"/>
  </w:num>
  <w:num w:numId="22" w16cid:durableId="265162250">
    <w:abstractNumId w:val="2"/>
  </w:num>
  <w:num w:numId="23" w16cid:durableId="77362090">
    <w:abstractNumId w:val="11"/>
  </w:num>
  <w:num w:numId="24" w16cid:durableId="585577819">
    <w:abstractNumId w:val="9"/>
  </w:num>
  <w:num w:numId="25" w16cid:durableId="99764090">
    <w:abstractNumId w:val="14"/>
  </w:num>
  <w:num w:numId="26" w16cid:durableId="384572122">
    <w:abstractNumId w:val="31"/>
  </w:num>
  <w:num w:numId="27" w16cid:durableId="1691837751">
    <w:abstractNumId w:val="29"/>
  </w:num>
  <w:num w:numId="28" w16cid:durableId="854153543">
    <w:abstractNumId w:val="24"/>
  </w:num>
  <w:num w:numId="29" w16cid:durableId="1825537657">
    <w:abstractNumId w:val="21"/>
  </w:num>
  <w:num w:numId="30" w16cid:durableId="1573733312">
    <w:abstractNumId w:val="8"/>
  </w:num>
  <w:num w:numId="31" w16cid:durableId="962200290">
    <w:abstractNumId w:val="30"/>
  </w:num>
  <w:num w:numId="32" w16cid:durableId="2025938800">
    <w:abstractNumId w:val="7"/>
  </w:num>
  <w:num w:numId="33" w16cid:durableId="2021421033">
    <w:abstractNumId w:val="26"/>
  </w:num>
  <w:num w:numId="34" w16cid:durableId="383260752">
    <w:abstractNumId w:val="28"/>
  </w:num>
  <w:num w:numId="35" w16cid:durableId="1807552162">
    <w:abstractNumId w:val="3"/>
  </w:num>
  <w:num w:numId="36" w16cid:durableId="189102150">
    <w:abstractNumId w:val="38"/>
  </w:num>
  <w:num w:numId="37" w16cid:durableId="1082021145">
    <w:abstractNumId w:val="25"/>
  </w:num>
  <w:num w:numId="38" w16cid:durableId="667706454">
    <w:abstractNumId w:val="39"/>
  </w:num>
  <w:num w:numId="39" w16cid:durableId="1332758655">
    <w:abstractNumId w:val="35"/>
  </w:num>
  <w:num w:numId="40" w16cid:durableId="1333340418">
    <w:abstractNumId w:val="33"/>
  </w:num>
  <w:num w:numId="41" w16cid:durableId="876892872">
    <w:abstractNumId w:val="3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00842"/>
    <w:rsid w:val="000058D7"/>
    <w:rsid w:val="000660A6"/>
    <w:rsid w:val="000662A1"/>
    <w:rsid w:val="000C0859"/>
    <w:rsid w:val="000C0FF9"/>
    <w:rsid w:val="000F5FE7"/>
    <w:rsid w:val="00100D71"/>
    <w:rsid w:val="00183952"/>
    <w:rsid w:val="0018511A"/>
    <w:rsid w:val="00191125"/>
    <w:rsid w:val="001922C5"/>
    <w:rsid w:val="001A3384"/>
    <w:rsid w:val="001B584B"/>
    <w:rsid w:val="001E334E"/>
    <w:rsid w:val="001E583C"/>
    <w:rsid w:val="002055CD"/>
    <w:rsid w:val="0022171D"/>
    <w:rsid w:val="00230DD2"/>
    <w:rsid w:val="002556B6"/>
    <w:rsid w:val="002948E7"/>
    <w:rsid w:val="0029540E"/>
    <w:rsid w:val="002A0D70"/>
    <w:rsid w:val="002F6AA5"/>
    <w:rsid w:val="00311072"/>
    <w:rsid w:val="00322995"/>
    <w:rsid w:val="003A1F38"/>
    <w:rsid w:val="0040641F"/>
    <w:rsid w:val="00422E08"/>
    <w:rsid w:val="00423533"/>
    <w:rsid w:val="00424543"/>
    <w:rsid w:val="00437B6E"/>
    <w:rsid w:val="00443AF0"/>
    <w:rsid w:val="00467983"/>
    <w:rsid w:val="00470278"/>
    <w:rsid w:val="004766BC"/>
    <w:rsid w:val="004A1023"/>
    <w:rsid w:val="004C42D4"/>
    <w:rsid w:val="005D1CB2"/>
    <w:rsid w:val="005E0DF9"/>
    <w:rsid w:val="006076D2"/>
    <w:rsid w:val="00646A2F"/>
    <w:rsid w:val="0066669F"/>
    <w:rsid w:val="00673B91"/>
    <w:rsid w:val="00675F51"/>
    <w:rsid w:val="006A3A23"/>
    <w:rsid w:val="006B5A6B"/>
    <w:rsid w:val="006E6094"/>
    <w:rsid w:val="0070586B"/>
    <w:rsid w:val="00712091"/>
    <w:rsid w:val="00730DE9"/>
    <w:rsid w:val="007614AC"/>
    <w:rsid w:val="00781169"/>
    <w:rsid w:val="007905B7"/>
    <w:rsid w:val="007E39F2"/>
    <w:rsid w:val="007F14BC"/>
    <w:rsid w:val="008379EA"/>
    <w:rsid w:val="00853DB0"/>
    <w:rsid w:val="00881005"/>
    <w:rsid w:val="008E0E18"/>
    <w:rsid w:val="008F75B1"/>
    <w:rsid w:val="00915AB8"/>
    <w:rsid w:val="0093116E"/>
    <w:rsid w:val="00956564"/>
    <w:rsid w:val="009701DF"/>
    <w:rsid w:val="00974C22"/>
    <w:rsid w:val="009853EC"/>
    <w:rsid w:val="009D204F"/>
    <w:rsid w:val="009F66A4"/>
    <w:rsid w:val="00A4561F"/>
    <w:rsid w:val="00A46185"/>
    <w:rsid w:val="00A53547"/>
    <w:rsid w:val="00A638BD"/>
    <w:rsid w:val="00A776AD"/>
    <w:rsid w:val="00AA7B73"/>
    <w:rsid w:val="00B45FB6"/>
    <w:rsid w:val="00B47A20"/>
    <w:rsid w:val="00B51E24"/>
    <w:rsid w:val="00BE43DF"/>
    <w:rsid w:val="00C356E2"/>
    <w:rsid w:val="00C61F57"/>
    <w:rsid w:val="00C70DC5"/>
    <w:rsid w:val="00C83B09"/>
    <w:rsid w:val="00C92510"/>
    <w:rsid w:val="00C952C5"/>
    <w:rsid w:val="00CD6CD6"/>
    <w:rsid w:val="00CF036D"/>
    <w:rsid w:val="00D13318"/>
    <w:rsid w:val="00D43143"/>
    <w:rsid w:val="00DB122B"/>
    <w:rsid w:val="00DB422E"/>
    <w:rsid w:val="00DB47F1"/>
    <w:rsid w:val="00DD7801"/>
    <w:rsid w:val="00DE4975"/>
    <w:rsid w:val="00DE601A"/>
    <w:rsid w:val="00DF77CB"/>
    <w:rsid w:val="00E07D50"/>
    <w:rsid w:val="00E31BE3"/>
    <w:rsid w:val="00E402A8"/>
    <w:rsid w:val="00E42DD1"/>
    <w:rsid w:val="00E42F5A"/>
    <w:rsid w:val="00E47E44"/>
    <w:rsid w:val="00E82FF8"/>
    <w:rsid w:val="00EC12A2"/>
    <w:rsid w:val="00ED4566"/>
    <w:rsid w:val="00EE3AFE"/>
    <w:rsid w:val="00EF03D0"/>
    <w:rsid w:val="00F312F2"/>
    <w:rsid w:val="00F3444C"/>
    <w:rsid w:val="00F44FE5"/>
    <w:rsid w:val="00F75432"/>
    <w:rsid w:val="00F977F8"/>
    <w:rsid w:val="00FA03F6"/>
    <w:rsid w:val="00FA1752"/>
    <w:rsid w:val="00FA634F"/>
    <w:rsid w:val="00FC7D3E"/>
    <w:rsid w:val="00FE58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E402A8"/>
    <w:pPr>
      <w:ind w:left="360"/>
    </w:pPr>
    <w:rPr>
      <w:rFonts w:eastAsia="Times New Roman" w:cs="Arial"/>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uiPriority w:val="99"/>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6E6094"/>
    <w:rPr>
      <w:rFonts w:ascii="Times New Roman" w:eastAsia="Times New Roman" w:hAnsi="Times New Roman" w:cs="Times New Roman"/>
      <w:sz w:val="20"/>
      <w:szCs w:val="20"/>
    </w:rPr>
  </w:style>
  <w:style w:type="character" w:styleId="FootnoteReference">
    <w:name w:val="footnote reference"/>
    <w:uiPriority w:val="99"/>
    <w:rsid w:val="006E6094"/>
    <w:rPr>
      <w:vertAlign w:val="superscript"/>
    </w:rPr>
  </w:style>
  <w:style w:type="character" w:styleId="Hyperlink">
    <w:name w:val="Hyperlink"/>
    <w:rsid w:val="00422E08"/>
    <w:rPr>
      <w:color w:val="0000FF"/>
      <w:u w:val="single"/>
    </w:rPr>
  </w:style>
  <w:style w:type="paragraph" w:styleId="Revision">
    <w:name w:val="Revision"/>
    <w:hidden/>
    <w:uiPriority w:val="99"/>
    <w:semiHidden/>
    <w:rsid w:val="00322995"/>
    <w:pPr>
      <w:spacing w:line="240" w:lineRule="auto"/>
    </w:pPr>
  </w:style>
  <w:style w:type="character" w:styleId="CommentReference">
    <w:name w:val="annotation reference"/>
    <w:basedOn w:val="DefaultParagraphFont"/>
    <w:uiPriority w:val="99"/>
    <w:semiHidden/>
    <w:unhideWhenUsed/>
    <w:rsid w:val="00E42F5A"/>
    <w:rPr>
      <w:sz w:val="16"/>
      <w:szCs w:val="16"/>
    </w:rPr>
  </w:style>
  <w:style w:type="paragraph" w:styleId="CommentText">
    <w:name w:val="annotation text"/>
    <w:basedOn w:val="Normal"/>
    <w:link w:val="CommentTextChar"/>
    <w:uiPriority w:val="99"/>
    <w:unhideWhenUsed/>
    <w:rsid w:val="00E42F5A"/>
    <w:pPr>
      <w:spacing w:line="240" w:lineRule="auto"/>
    </w:pPr>
    <w:rPr>
      <w:sz w:val="20"/>
      <w:szCs w:val="20"/>
    </w:rPr>
  </w:style>
  <w:style w:type="character" w:customStyle="1" w:styleId="CommentTextChar">
    <w:name w:val="Comment Text Char"/>
    <w:basedOn w:val="DefaultParagraphFont"/>
    <w:link w:val="CommentText"/>
    <w:uiPriority w:val="99"/>
    <w:rsid w:val="00E42F5A"/>
    <w:rPr>
      <w:sz w:val="20"/>
      <w:szCs w:val="20"/>
    </w:rPr>
  </w:style>
  <w:style w:type="paragraph" w:styleId="CommentSubject">
    <w:name w:val="annotation subject"/>
    <w:basedOn w:val="CommentText"/>
    <w:next w:val="CommentText"/>
    <w:link w:val="CommentSubjectChar"/>
    <w:uiPriority w:val="99"/>
    <w:semiHidden/>
    <w:unhideWhenUsed/>
    <w:rsid w:val="00E42F5A"/>
    <w:rPr>
      <w:b/>
      <w:bCs/>
    </w:rPr>
  </w:style>
  <w:style w:type="character" w:customStyle="1" w:styleId="CommentSubjectChar">
    <w:name w:val="Comment Subject Char"/>
    <w:basedOn w:val="CommentTextChar"/>
    <w:link w:val="CommentSubject"/>
    <w:uiPriority w:val="99"/>
    <w:semiHidden/>
    <w:rsid w:val="00E42F5A"/>
    <w:rPr>
      <w:b/>
      <w:bCs/>
      <w:sz w:val="20"/>
      <w:szCs w:val="20"/>
    </w:rPr>
  </w:style>
  <w:style w:type="character" w:styleId="UnresolvedMention">
    <w:name w:val="Unresolved Mention"/>
    <w:basedOn w:val="DefaultParagraphFont"/>
    <w:uiPriority w:val="99"/>
    <w:semiHidden/>
    <w:unhideWhenUsed/>
    <w:rsid w:val="00A638BD"/>
    <w:rPr>
      <w:color w:val="605E5C"/>
      <w:shd w:val="clear" w:color="auto" w:fill="E1DFDD"/>
    </w:rPr>
  </w:style>
  <w:style w:type="paragraph" w:styleId="NoSpacing">
    <w:name w:val="No Spacing"/>
    <w:uiPriority w:val="1"/>
    <w:qFormat/>
    <w:rsid w:val="00A46185"/>
    <w:pPr>
      <w:spacing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cadeemployers.com/pages/p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ascadeemployers.com/pages/p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predictiveindex.com/company/customer-stories/" TargetMode="External"/><Relationship Id="rId2" Type="http://schemas.openxmlformats.org/officeDocument/2006/relationships/hyperlink" Target="https://innosource.com/2024/03/14/the-cost-of-turnover/" TargetMode="External"/><Relationship Id="rId1" Type="http://schemas.openxmlformats.org/officeDocument/2006/relationships/hyperlink" Target="https://www.gallup.com/workplace/646538/employee-turnover-preventable-often-ignore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1D63A-3677-44F1-BAB3-CBE0B790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4</cp:revision>
  <cp:lastPrinted>2022-03-11T21:00:00Z</cp:lastPrinted>
  <dcterms:created xsi:type="dcterms:W3CDTF">2025-02-13T15:26:00Z</dcterms:created>
  <dcterms:modified xsi:type="dcterms:W3CDTF">2025-02-13T16:38:00Z</dcterms:modified>
</cp:coreProperties>
</file>