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1C0B" w14:textId="31041A69" w:rsidR="00C356E2" w:rsidRPr="000C0859" w:rsidRDefault="006E7A19" w:rsidP="00C356E2">
      <w:pPr>
        <w:spacing w:line="240" w:lineRule="auto"/>
        <w:rPr>
          <w:rFonts w:eastAsia="DFKai-SB" w:cs="Arial"/>
          <w:b/>
          <w:color w:val="1D2C4C"/>
          <w:sz w:val="56"/>
          <w:szCs w:val="56"/>
        </w:rPr>
      </w:pPr>
      <w:r w:rsidRPr="006E7A19">
        <w:rPr>
          <w:rFonts w:eastAsia="DFKai-SB" w:cs="Arial"/>
          <w:b/>
          <w:color w:val="1C2B4C"/>
          <w:sz w:val="56"/>
          <w:szCs w:val="56"/>
        </w:rPr>
        <w:t>Oreg</w:t>
      </w:r>
      <w:r>
        <w:rPr>
          <w:rFonts w:eastAsia="DFKai-SB" w:cs="Arial"/>
          <w:b/>
          <w:color w:val="1D2C4C"/>
          <w:sz w:val="56"/>
          <w:szCs w:val="56"/>
        </w:rPr>
        <w:t>on’s Equal Pay Law</w:t>
      </w:r>
    </w:p>
    <w:p w14:paraId="2CE7B854" w14:textId="3A0D4C97" w:rsidR="001B584B" w:rsidRPr="009F66A4" w:rsidRDefault="001B584B"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0FF9104D" w14:textId="77777777" w:rsidR="006E7A19" w:rsidRDefault="006E7A19" w:rsidP="006E7A19">
      <w:pPr>
        <w:rPr>
          <w:rFonts w:cs="Arial"/>
        </w:rPr>
      </w:pPr>
      <w:r w:rsidRPr="006E7A19">
        <w:rPr>
          <w:rFonts w:cs="Arial"/>
          <w:b/>
          <w:bCs/>
          <w:color w:val="1C2B4C"/>
          <w:sz w:val="28"/>
          <w:szCs w:val="28"/>
        </w:rPr>
        <w:t>What is Oregon’s Equal Pay Act (Pay Equity Law)</w:t>
      </w:r>
      <w:r w:rsidRPr="006E7A19">
        <w:rPr>
          <w:rFonts w:cs="Arial"/>
          <w:b/>
          <w:bCs/>
          <w:color w:val="1C2B4C"/>
          <w:sz w:val="28"/>
          <w:szCs w:val="28"/>
        </w:rPr>
        <w:br/>
      </w:r>
      <w:r w:rsidRPr="006B06F1">
        <w:rPr>
          <w:rFonts w:cs="Arial"/>
        </w:rPr>
        <w:t>The Oregon Equal Pay Act prohibits pay discrimination based on protected characteristics such as race, sex, age, and more, ensuring that employees performing comparable work receive equal compensation. The law requires employers to assess pay equity, justify pay differentials based on bona fide factors like experience, education, and performance, and prohibits salary history inquiries during hiring. Employers must also conduct regular pay equity audits to mitigate legal risks and ensure compliance. This guide provides an overview of key requirements, best practices for compliance, and steps to proactively address pay disparities in the workplace.</w:t>
      </w:r>
    </w:p>
    <w:p w14:paraId="70A0D55B" w14:textId="77777777" w:rsidR="006E7A19" w:rsidRPr="006B06F1" w:rsidRDefault="006E7A19" w:rsidP="006E7A19">
      <w:pPr>
        <w:rPr>
          <w:rFonts w:cs="Arial"/>
          <w:b/>
          <w:bCs/>
          <w:sz w:val="36"/>
          <w:szCs w:val="36"/>
        </w:rPr>
      </w:pPr>
    </w:p>
    <w:p w14:paraId="60F303A2" w14:textId="77777777" w:rsidR="006E7A19" w:rsidRPr="006E7A19" w:rsidRDefault="006E7A19" w:rsidP="006E7A19">
      <w:pPr>
        <w:pStyle w:val="ListParagraph"/>
        <w:spacing w:line="300" w:lineRule="exact"/>
        <w:ind w:left="0"/>
        <w:rPr>
          <w:rFonts w:ascii="Arial" w:hAnsi="Arial" w:cs="Arial"/>
          <w:b/>
          <w:bCs/>
          <w:color w:val="1C2B4C"/>
        </w:rPr>
      </w:pPr>
      <w:r w:rsidRPr="006E7A19">
        <w:rPr>
          <w:rFonts w:ascii="Arial" w:hAnsi="Arial" w:cs="Arial"/>
          <w:b/>
          <w:bCs/>
          <w:color w:val="1C2B4C"/>
        </w:rPr>
        <w:t>Under Oregon’s Equal Pay Act it is unlawful to:</w:t>
      </w:r>
    </w:p>
    <w:p w14:paraId="65DF3764" w14:textId="04DDADE4" w:rsidR="006E7A19" w:rsidRPr="006E7A19" w:rsidRDefault="006E7A19" w:rsidP="006E7A19">
      <w:pPr>
        <w:pStyle w:val="ListParagraph"/>
        <w:numPr>
          <w:ilvl w:val="1"/>
          <w:numId w:val="27"/>
        </w:numPr>
        <w:spacing w:line="300" w:lineRule="exact"/>
        <w:ind w:left="720"/>
        <w:contextualSpacing/>
        <w:rPr>
          <w:rFonts w:ascii="Arial" w:hAnsi="Arial" w:cs="Arial"/>
          <w:sz w:val="22"/>
          <w:szCs w:val="22"/>
        </w:rPr>
      </w:pPr>
      <w:r w:rsidRPr="006E7A19">
        <w:rPr>
          <w:rFonts w:ascii="Arial" w:hAnsi="Arial" w:cs="Arial"/>
          <w:sz w:val="22"/>
          <w:szCs w:val="22"/>
        </w:rPr>
        <w:t>Discriminate between employees on the basis of protected class in the payment of wages or other compensation for work of comparable character</w:t>
      </w:r>
      <w:r w:rsidR="00EF1D19">
        <w:rPr>
          <w:rFonts w:ascii="Arial" w:hAnsi="Arial" w:cs="Arial"/>
          <w:sz w:val="22"/>
          <w:szCs w:val="22"/>
        </w:rPr>
        <w:t>.</w:t>
      </w:r>
    </w:p>
    <w:p w14:paraId="3F5CD37E" w14:textId="4764B894" w:rsidR="006E7A19" w:rsidRPr="006E7A19" w:rsidRDefault="006E7A19" w:rsidP="006E7A19">
      <w:pPr>
        <w:pStyle w:val="ListParagraph"/>
        <w:numPr>
          <w:ilvl w:val="1"/>
          <w:numId w:val="27"/>
        </w:numPr>
        <w:spacing w:line="300" w:lineRule="exact"/>
        <w:ind w:left="720"/>
        <w:contextualSpacing/>
        <w:rPr>
          <w:rFonts w:ascii="Arial" w:hAnsi="Arial" w:cs="Arial"/>
          <w:sz w:val="22"/>
          <w:szCs w:val="22"/>
        </w:rPr>
      </w:pPr>
      <w:r w:rsidRPr="006E7A19">
        <w:rPr>
          <w:rFonts w:ascii="Arial" w:hAnsi="Arial" w:cs="Arial"/>
          <w:sz w:val="22"/>
          <w:szCs w:val="22"/>
        </w:rPr>
        <w:t>Determine compensation for a position based on current or past compensation of a prospective employee</w:t>
      </w:r>
      <w:r w:rsidR="00EF1D19">
        <w:rPr>
          <w:rFonts w:ascii="Arial" w:hAnsi="Arial" w:cs="Arial"/>
          <w:sz w:val="22"/>
          <w:szCs w:val="22"/>
        </w:rPr>
        <w:t>.</w:t>
      </w:r>
    </w:p>
    <w:p w14:paraId="672A4C48" w14:textId="7E09DACE" w:rsidR="006E7A19" w:rsidRPr="006E7A19" w:rsidRDefault="006E7A19" w:rsidP="00EF1D19">
      <w:pPr>
        <w:pStyle w:val="ListParagraph"/>
        <w:numPr>
          <w:ilvl w:val="1"/>
          <w:numId w:val="27"/>
        </w:numPr>
        <w:spacing w:line="300" w:lineRule="exact"/>
        <w:ind w:left="720" w:right="-18"/>
        <w:contextualSpacing/>
        <w:rPr>
          <w:rFonts w:ascii="Arial" w:hAnsi="Arial" w:cs="Arial"/>
          <w:sz w:val="22"/>
          <w:szCs w:val="22"/>
        </w:rPr>
      </w:pPr>
      <w:r w:rsidRPr="006E7A19">
        <w:rPr>
          <w:rFonts w:ascii="Arial" w:hAnsi="Arial" w:cs="Arial"/>
          <w:sz w:val="22"/>
          <w:szCs w:val="22"/>
        </w:rPr>
        <w:t>Ask an applicant or employee or their current or former employer about the applicant’s salary history</w:t>
      </w:r>
      <w:r w:rsidR="00EF1D19">
        <w:rPr>
          <w:rFonts w:ascii="Arial" w:hAnsi="Arial" w:cs="Arial"/>
          <w:sz w:val="22"/>
          <w:szCs w:val="22"/>
        </w:rPr>
        <w:t>.</w:t>
      </w:r>
    </w:p>
    <w:p w14:paraId="34E74919" w14:textId="77777777" w:rsidR="006E7A19" w:rsidRDefault="006E7A19" w:rsidP="006E7A19">
      <w:pPr>
        <w:rPr>
          <w:rFonts w:cs="Arial"/>
          <w:b/>
          <w:bCs/>
          <w:sz w:val="36"/>
          <w:szCs w:val="36"/>
        </w:rPr>
      </w:pPr>
    </w:p>
    <w:p w14:paraId="5CBD593F" w14:textId="34CCEE86" w:rsidR="006E7A19" w:rsidRPr="00EF1D19" w:rsidRDefault="006E7A19" w:rsidP="006E7A19">
      <w:pPr>
        <w:rPr>
          <w:rFonts w:cs="Arial"/>
          <w:b/>
          <w:bCs/>
          <w:color w:val="1C2B4C"/>
          <w:sz w:val="24"/>
          <w:szCs w:val="24"/>
        </w:rPr>
      </w:pPr>
      <w:r w:rsidRPr="00EF1D19">
        <w:rPr>
          <w:rFonts w:cs="Arial"/>
          <w:b/>
          <w:bCs/>
          <w:color w:val="1C2B4C"/>
          <w:sz w:val="24"/>
          <w:szCs w:val="24"/>
        </w:rPr>
        <w:t>Definitions</w:t>
      </w:r>
    </w:p>
    <w:p w14:paraId="67159FB9" w14:textId="46C29B8C" w:rsidR="006E7A19" w:rsidRPr="00CB0BAE" w:rsidRDefault="006E7A19" w:rsidP="006E7A19">
      <w:pPr>
        <w:pStyle w:val="ListParagraph"/>
        <w:numPr>
          <w:ilvl w:val="0"/>
          <w:numId w:val="28"/>
        </w:numPr>
        <w:spacing w:line="300" w:lineRule="exact"/>
        <w:contextualSpacing/>
        <w:rPr>
          <w:rFonts w:ascii="Arial" w:hAnsi="Arial" w:cs="Arial"/>
          <w:sz w:val="22"/>
          <w:szCs w:val="22"/>
        </w:rPr>
      </w:pPr>
      <w:r w:rsidRPr="00CB0BAE">
        <w:rPr>
          <w:rFonts w:ascii="Arial" w:hAnsi="Arial" w:cs="Arial"/>
          <w:b/>
          <w:bCs/>
          <w:sz w:val="22"/>
          <w:szCs w:val="22"/>
        </w:rPr>
        <w:t>Protected Classes:</w:t>
      </w:r>
      <w:r w:rsidRPr="00CB0BAE">
        <w:rPr>
          <w:rFonts w:ascii="Arial" w:hAnsi="Arial" w:cs="Arial"/>
          <w:sz w:val="22"/>
          <w:szCs w:val="22"/>
        </w:rPr>
        <w:t xml:space="preserve"> race, color, religion, sex, sexual orientation, national origin, marital status, veteran status, disability and age</w:t>
      </w:r>
      <w:r w:rsidR="00835AB6">
        <w:rPr>
          <w:rFonts w:ascii="Arial" w:hAnsi="Arial" w:cs="Arial"/>
          <w:sz w:val="22"/>
          <w:szCs w:val="22"/>
        </w:rPr>
        <w:t>.</w:t>
      </w:r>
    </w:p>
    <w:p w14:paraId="439D743E" w14:textId="32D61816" w:rsidR="006E7A19" w:rsidRPr="00CB0BAE" w:rsidRDefault="006E7A19" w:rsidP="006E7A19">
      <w:pPr>
        <w:pStyle w:val="ListParagraph"/>
        <w:numPr>
          <w:ilvl w:val="0"/>
          <w:numId w:val="28"/>
        </w:numPr>
        <w:spacing w:line="300" w:lineRule="exact"/>
        <w:contextualSpacing/>
        <w:rPr>
          <w:rFonts w:ascii="Arial" w:hAnsi="Arial" w:cs="Arial"/>
          <w:sz w:val="22"/>
          <w:szCs w:val="22"/>
        </w:rPr>
      </w:pPr>
      <w:r w:rsidRPr="00CB0BAE">
        <w:rPr>
          <w:rFonts w:ascii="Arial" w:hAnsi="Arial" w:cs="Arial"/>
          <w:b/>
          <w:bCs/>
          <w:sz w:val="22"/>
          <w:szCs w:val="22"/>
        </w:rPr>
        <w:t>Compensation:</w:t>
      </w:r>
      <w:r w:rsidRPr="00CB0BAE">
        <w:rPr>
          <w:rFonts w:ascii="Arial" w:hAnsi="Arial" w:cs="Arial"/>
          <w:sz w:val="22"/>
          <w:szCs w:val="22"/>
        </w:rPr>
        <w:t xml:space="preserve"> wages, salary, bonuses, benefits, fringe benefits, equity-based compensation</w:t>
      </w:r>
      <w:r w:rsidR="00835AB6">
        <w:rPr>
          <w:rFonts w:ascii="Arial" w:hAnsi="Arial" w:cs="Arial"/>
          <w:sz w:val="22"/>
          <w:szCs w:val="22"/>
        </w:rPr>
        <w:t>.</w:t>
      </w:r>
    </w:p>
    <w:p w14:paraId="0A8147EB" w14:textId="5A66CFBE" w:rsidR="006E7A19" w:rsidRPr="00CB0BAE" w:rsidRDefault="006E7A19" w:rsidP="006E7A19">
      <w:pPr>
        <w:pStyle w:val="ListParagraph"/>
        <w:numPr>
          <w:ilvl w:val="0"/>
          <w:numId w:val="28"/>
        </w:numPr>
        <w:spacing w:line="300" w:lineRule="exact"/>
        <w:contextualSpacing/>
        <w:rPr>
          <w:rFonts w:ascii="Arial" w:hAnsi="Arial" w:cs="Arial"/>
          <w:sz w:val="22"/>
          <w:szCs w:val="22"/>
        </w:rPr>
      </w:pPr>
      <w:r w:rsidRPr="00CB0BAE">
        <w:rPr>
          <w:rFonts w:ascii="Arial" w:hAnsi="Arial" w:cs="Arial"/>
          <w:b/>
          <w:bCs/>
          <w:sz w:val="22"/>
          <w:szCs w:val="22"/>
        </w:rPr>
        <w:t>Work of Comparable Character:</w:t>
      </w:r>
      <w:r w:rsidRPr="00CB0BAE">
        <w:rPr>
          <w:rFonts w:ascii="Arial" w:hAnsi="Arial" w:cs="Arial"/>
          <w:sz w:val="22"/>
          <w:szCs w:val="22"/>
        </w:rPr>
        <w:t xml:space="preserve"> work that requires substantially similar knowledge, skills, effort, responsibility and working conditions in the performance of work regardless of job description or job title</w:t>
      </w:r>
      <w:r w:rsidR="00835AB6">
        <w:rPr>
          <w:rFonts w:ascii="Arial" w:hAnsi="Arial" w:cs="Arial"/>
          <w:sz w:val="22"/>
          <w:szCs w:val="22"/>
        </w:rPr>
        <w:t>.</w:t>
      </w:r>
    </w:p>
    <w:p w14:paraId="1CB0AA3C" w14:textId="77777777" w:rsidR="006E7A19" w:rsidRPr="006B06F1" w:rsidRDefault="006E7A19" w:rsidP="006E7A19">
      <w:pPr>
        <w:pStyle w:val="ListParagraph"/>
        <w:spacing w:line="300" w:lineRule="exact"/>
        <w:rPr>
          <w:rFonts w:ascii="Arial" w:hAnsi="Arial" w:cs="Arial"/>
        </w:rPr>
      </w:pPr>
    </w:p>
    <w:p w14:paraId="407F8B8D" w14:textId="77777777" w:rsidR="006E7A19" w:rsidRPr="00CB0BAE" w:rsidRDefault="006E7A19" w:rsidP="00CB0BAE">
      <w:pPr>
        <w:spacing w:line="240" w:lineRule="auto"/>
        <w:rPr>
          <w:rFonts w:cs="Arial"/>
          <w:b/>
          <w:bCs/>
          <w:color w:val="1C2B4C"/>
          <w:sz w:val="28"/>
          <w:szCs w:val="28"/>
        </w:rPr>
      </w:pPr>
      <w:r w:rsidRPr="00CB0BAE">
        <w:rPr>
          <w:rFonts w:cs="Arial"/>
          <w:b/>
          <w:bCs/>
          <w:color w:val="1C2B4C"/>
          <w:sz w:val="28"/>
          <w:szCs w:val="28"/>
        </w:rPr>
        <w:t>Work of Comparable Character – Definitions</w:t>
      </w:r>
    </w:p>
    <w:p w14:paraId="78196C32" w14:textId="77777777" w:rsidR="006E7A19" w:rsidRPr="00CB0BAE" w:rsidRDefault="006E7A19" w:rsidP="006E7A19">
      <w:pPr>
        <w:pStyle w:val="NormalWeb"/>
        <w:spacing w:before="0" w:beforeAutospacing="0" w:after="0" w:afterAutospacing="0" w:line="300" w:lineRule="exact"/>
        <w:rPr>
          <w:rFonts w:ascii="Arial" w:hAnsi="Arial" w:cs="Arial"/>
          <w:sz w:val="22"/>
          <w:szCs w:val="22"/>
        </w:rPr>
      </w:pPr>
      <w:r w:rsidRPr="00CB0BAE">
        <w:rPr>
          <w:rFonts w:ascii="Arial" w:hAnsi="Arial" w:cs="Arial"/>
          <w:sz w:val="22"/>
          <w:szCs w:val="22"/>
        </w:rPr>
        <w:t xml:space="preserve">Under the </w:t>
      </w:r>
      <w:r w:rsidRPr="00CB0BAE">
        <w:rPr>
          <w:rStyle w:val="Strong"/>
          <w:rFonts w:ascii="Arial" w:hAnsi="Arial" w:cs="Arial"/>
          <w:sz w:val="22"/>
          <w:szCs w:val="22"/>
        </w:rPr>
        <w:t>Oregon Equal Pay Act</w:t>
      </w:r>
      <w:r w:rsidRPr="00CB0BAE">
        <w:rPr>
          <w:rFonts w:ascii="Arial" w:hAnsi="Arial" w:cs="Arial"/>
          <w:sz w:val="22"/>
          <w:szCs w:val="22"/>
        </w:rPr>
        <w:t xml:space="preserve">, "work of comparable character" refers to work that requires </w:t>
      </w:r>
      <w:r w:rsidRPr="00CB0BAE">
        <w:rPr>
          <w:rStyle w:val="Strong"/>
          <w:rFonts w:ascii="Arial" w:hAnsi="Arial" w:cs="Arial"/>
          <w:sz w:val="22"/>
          <w:szCs w:val="22"/>
        </w:rPr>
        <w:t>substantially similar knowledge, skill, effort, responsibility, and working conditions</w:t>
      </w:r>
      <w:r w:rsidRPr="00CB0BAE">
        <w:rPr>
          <w:rFonts w:ascii="Arial" w:hAnsi="Arial" w:cs="Arial"/>
          <w:sz w:val="22"/>
          <w:szCs w:val="22"/>
        </w:rPr>
        <w:t>, regardless of job title or description.</w:t>
      </w:r>
    </w:p>
    <w:p w14:paraId="6D82EFE3" w14:textId="77777777" w:rsidR="00CB0BAE" w:rsidRPr="00CB0BAE" w:rsidRDefault="00CB0BAE" w:rsidP="006E7A19">
      <w:pPr>
        <w:pStyle w:val="NormalWeb"/>
        <w:spacing w:before="0" w:beforeAutospacing="0" w:after="0" w:afterAutospacing="0" w:line="300" w:lineRule="exact"/>
        <w:rPr>
          <w:rFonts w:ascii="Arial" w:hAnsi="Arial" w:cs="Arial"/>
          <w:sz w:val="22"/>
          <w:szCs w:val="22"/>
        </w:rPr>
      </w:pPr>
    </w:p>
    <w:p w14:paraId="0258C16A" w14:textId="77777777" w:rsidR="006E7A19" w:rsidRPr="00CB0BAE" w:rsidRDefault="006E7A19" w:rsidP="006E7A19">
      <w:pPr>
        <w:pStyle w:val="NormalWeb"/>
        <w:spacing w:before="0" w:beforeAutospacing="0" w:after="0" w:afterAutospacing="0" w:line="300" w:lineRule="exact"/>
        <w:rPr>
          <w:rFonts w:ascii="Arial" w:hAnsi="Arial" w:cs="Arial"/>
          <w:sz w:val="22"/>
          <w:szCs w:val="22"/>
        </w:rPr>
      </w:pPr>
      <w:r w:rsidRPr="00CB0BAE">
        <w:rPr>
          <w:rFonts w:ascii="Arial" w:hAnsi="Arial" w:cs="Arial"/>
          <w:sz w:val="22"/>
          <w:szCs w:val="22"/>
        </w:rPr>
        <w:t xml:space="preserve">This means that jobs do not have to be identical but must be comparable based on these factors. </w:t>
      </w:r>
    </w:p>
    <w:p w14:paraId="2200ADBE" w14:textId="77777777" w:rsidR="006E7A19" w:rsidRPr="00CB0BAE" w:rsidRDefault="006E7A19" w:rsidP="00CB0BAE">
      <w:pPr>
        <w:pStyle w:val="ListParagraph"/>
        <w:numPr>
          <w:ilvl w:val="0"/>
          <w:numId w:val="29"/>
        </w:numPr>
        <w:spacing w:line="300" w:lineRule="exact"/>
        <w:contextualSpacing/>
        <w:rPr>
          <w:rFonts w:ascii="Arial" w:hAnsi="Arial" w:cs="Arial"/>
          <w:sz w:val="22"/>
          <w:szCs w:val="22"/>
        </w:rPr>
      </w:pPr>
      <w:r w:rsidRPr="00CB0BAE">
        <w:rPr>
          <w:rFonts w:ascii="Arial" w:hAnsi="Arial" w:cs="Arial"/>
          <w:b/>
          <w:bCs/>
          <w:color w:val="1C2B4C"/>
          <w:sz w:val="22"/>
          <w:szCs w:val="22"/>
        </w:rPr>
        <w:t>Knowledge:</w:t>
      </w:r>
      <w:r w:rsidRPr="00CB0BAE">
        <w:rPr>
          <w:rFonts w:ascii="Arial" w:hAnsi="Arial" w:cs="Arial"/>
          <w:sz w:val="22"/>
          <w:szCs w:val="22"/>
        </w:rPr>
        <w:t xml:space="preserve"> certifications, licenses, education, experience, training</w:t>
      </w:r>
    </w:p>
    <w:p w14:paraId="0F160847" w14:textId="77777777" w:rsidR="006E7A19" w:rsidRPr="00CB0BAE" w:rsidRDefault="006E7A19" w:rsidP="00CB0BAE">
      <w:pPr>
        <w:pStyle w:val="ListParagraph"/>
        <w:numPr>
          <w:ilvl w:val="0"/>
          <w:numId w:val="29"/>
        </w:numPr>
        <w:spacing w:line="300" w:lineRule="exact"/>
        <w:contextualSpacing/>
        <w:rPr>
          <w:rFonts w:ascii="Arial" w:hAnsi="Arial" w:cs="Arial"/>
          <w:sz w:val="22"/>
          <w:szCs w:val="22"/>
        </w:rPr>
      </w:pPr>
      <w:r w:rsidRPr="00CB0BAE">
        <w:rPr>
          <w:rFonts w:ascii="Arial" w:hAnsi="Arial" w:cs="Arial"/>
          <w:b/>
          <w:bCs/>
          <w:color w:val="1C2B4C"/>
          <w:sz w:val="22"/>
          <w:szCs w:val="22"/>
        </w:rPr>
        <w:t>Skill:</w:t>
      </w:r>
      <w:r w:rsidRPr="00CB0BAE">
        <w:rPr>
          <w:rFonts w:ascii="Arial" w:hAnsi="Arial" w:cs="Arial"/>
          <w:sz w:val="22"/>
          <w:szCs w:val="22"/>
        </w:rPr>
        <w:t xml:space="preserve"> ability, agility, coordination, creativity, efficiency, experience or precision</w:t>
      </w:r>
    </w:p>
    <w:p w14:paraId="5B484363" w14:textId="77777777" w:rsidR="006E7A19" w:rsidRPr="00CB0BAE" w:rsidRDefault="006E7A19" w:rsidP="00CB0BAE">
      <w:pPr>
        <w:pStyle w:val="ListParagraph"/>
        <w:numPr>
          <w:ilvl w:val="0"/>
          <w:numId w:val="29"/>
        </w:numPr>
        <w:spacing w:line="300" w:lineRule="exact"/>
        <w:contextualSpacing/>
        <w:rPr>
          <w:rFonts w:ascii="Arial" w:hAnsi="Arial" w:cs="Arial"/>
          <w:sz w:val="22"/>
          <w:szCs w:val="22"/>
        </w:rPr>
      </w:pPr>
      <w:r w:rsidRPr="00CB0BAE">
        <w:rPr>
          <w:rFonts w:ascii="Arial" w:hAnsi="Arial" w:cs="Arial"/>
          <w:b/>
          <w:bCs/>
          <w:color w:val="1C2B4C"/>
          <w:sz w:val="22"/>
          <w:szCs w:val="22"/>
        </w:rPr>
        <w:t>Effort:</w:t>
      </w:r>
      <w:r w:rsidRPr="00CB0BAE">
        <w:rPr>
          <w:rFonts w:ascii="Arial" w:hAnsi="Arial" w:cs="Arial"/>
          <w:sz w:val="22"/>
          <w:szCs w:val="22"/>
        </w:rPr>
        <w:t xml:space="preserve"> amount of physical or mental exertion, amount of sustained activity, complexity of job tasks</w:t>
      </w:r>
    </w:p>
    <w:p w14:paraId="7E4E249F" w14:textId="77777777" w:rsidR="006E7A19" w:rsidRPr="00CB0BAE" w:rsidRDefault="006E7A19" w:rsidP="00CB0BAE">
      <w:pPr>
        <w:pStyle w:val="ListParagraph"/>
        <w:numPr>
          <w:ilvl w:val="0"/>
          <w:numId w:val="29"/>
        </w:numPr>
        <w:spacing w:line="300" w:lineRule="exact"/>
        <w:contextualSpacing/>
        <w:rPr>
          <w:rFonts w:ascii="Arial" w:hAnsi="Arial" w:cs="Arial"/>
          <w:sz w:val="22"/>
          <w:szCs w:val="22"/>
        </w:rPr>
      </w:pPr>
      <w:r w:rsidRPr="00CB0BAE">
        <w:rPr>
          <w:rFonts w:ascii="Arial" w:hAnsi="Arial" w:cs="Arial"/>
          <w:b/>
          <w:bCs/>
          <w:color w:val="1C2B4C"/>
          <w:sz w:val="22"/>
          <w:szCs w:val="22"/>
        </w:rPr>
        <w:t>Responsibility:</w:t>
      </w:r>
      <w:r w:rsidRPr="00CB0BAE">
        <w:rPr>
          <w:rFonts w:ascii="Arial" w:hAnsi="Arial" w:cs="Arial"/>
          <w:sz w:val="22"/>
          <w:szCs w:val="22"/>
        </w:rPr>
        <w:t xml:space="preserve"> accountability, decision making discretion, amount, level, or degree of significance of tasks; autonomy or extent employee works without supervision, extent employee exercises supervisory functions; extent actions expose employer to risk or liability</w:t>
      </w:r>
    </w:p>
    <w:p w14:paraId="16DFEB0A" w14:textId="1017B1E6" w:rsidR="006E7A19" w:rsidRPr="00CB0BAE" w:rsidRDefault="006E7A19" w:rsidP="00CB0BAE">
      <w:pPr>
        <w:pStyle w:val="ListParagraph"/>
        <w:numPr>
          <w:ilvl w:val="0"/>
          <w:numId w:val="29"/>
        </w:numPr>
        <w:spacing w:line="300" w:lineRule="exact"/>
        <w:contextualSpacing/>
        <w:rPr>
          <w:rFonts w:ascii="Arial" w:hAnsi="Arial" w:cs="Arial"/>
          <w:sz w:val="22"/>
          <w:szCs w:val="22"/>
        </w:rPr>
      </w:pPr>
      <w:r w:rsidRPr="00CB0BAE">
        <w:rPr>
          <w:rFonts w:ascii="Arial" w:hAnsi="Arial" w:cs="Arial"/>
          <w:b/>
          <w:bCs/>
          <w:color w:val="1C2B4C"/>
          <w:sz w:val="22"/>
          <w:szCs w:val="22"/>
        </w:rPr>
        <w:t>Working Conditions:</w:t>
      </w:r>
      <w:r w:rsidRPr="00CB0BAE">
        <w:rPr>
          <w:rFonts w:ascii="Arial" w:hAnsi="Arial" w:cs="Arial"/>
          <w:sz w:val="22"/>
          <w:szCs w:val="22"/>
        </w:rPr>
        <w:t xml:space="preserve"> work environment, hours (alternative scheduling, level of busyness, limited duration assignments, number of hours, overtime hours, PT/FT, time of day, shift differentials</w:t>
      </w:r>
      <w:r w:rsidR="00EF1D19">
        <w:rPr>
          <w:rFonts w:ascii="Arial" w:hAnsi="Arial" w:cs="Arial"/>
          <w:sz w:val="22"/>
          <w:szCs w:val="22"/>
        </w:rPr>
        <w:t>)</w:t>
      </w:r>
      <w:r w:rsidRPr="00CB0BAE">
        <w:rPr>
          <w:rFonts w:ascii="Arial" w:hAnsi="Arial" w:cs="Arial"/>
          <w:sz w:val="22"/>
          <w:szCs w:val="22"/>
        </w:rPr>
        <w:t>, physical surroundings (air quality, distractions, dust, exposure to weather, isolation, lighting, noise, temperature, physical design or layout of workspace, ventilation or wetness), potential hazards (degree of severity of potential injury, frequency of exposure, intensity, physical hazards, risk of injury or toxicity)</w:t>
      </w:r>
    </w:p>
    <w:p w14:paraId="27489B1A" w14:textId="77777777" w:rsidR="006E7A19" w:rsidRPr="006B06F1" w:rsidRDefault="006E7A19" w:rsidP="006E7A19">
      <w:pPr>
        <w:rPr>
          <w:rFonts w:cs="Arial"/>
          <w:b/>
          <w:bCs/>
          <w:sz w:val="36"/>
          <w:szCs w:val="36"/>
        </w:rPr>
      </w:pPr>
    </w:p>
    <w:p w14:paraId="2772FE54" w14:textId="77777777" w:rsidR="006E7A19" w:rsidRPr="00CB0BAE" w:rsidRDefault="006E7A19" w:rsidP="00CB0BAE">
      <w:pPr>
        <w:spacing w:line="240" w:lineRule="auto"/>
        <w:rPr>
          <w:rFonts w:cs="Arial"/>
          <w:b/>
          <w:bCs/>
          <w:color w:val="1C2B4C"/>
          <w:sz w:val="28"/>
          <w:szCs w:val="28"/>
        </w:rPr>
      </w:pPr>
      <w:r w:rsidRPr="00CB0BAE">
        <w:rPr>
          <w:rFonts w:cs="Arial"/>
          <w:b/>
          <w:bCs/>
          <w:color w:val="1C2B4C"/>
          <w:sz w:val="28"/>
          <w:szCs w:val="28"/>
        </w:rPr>
        <w:lastRenderedPageBreak/>
        <w:t>Justifying Differentials</w:t>
      </w:r>
    </w:p>
    <w:p w14:paraId="019393BE" w14:textId="77777777" w:rsidR="006E7A19" w:rsidRPr="00CB0BAE" w:rsidRDefault="006E7A19" w:rsidP="006E7A19">
      <w:pPr>
        <w:rPr>
          <w:rFonts w:cs="Arial"/>
        </w:rPr>
      </w:pPr>
      <w:r w:rsidRPr="00CB0BAE">
        <w:rPr>
          <w:rFonts w:cs="Arial"/>
        </w:rPr>
        <w:t xml:space="preserve">Employers may pay employees for work of comparable character at different compensation levels if </w:t>
      </w:r>
      <w:r w:rsidRPr="00CB0BAE">
        <w:rPr>
          <w:rFonts w:cs="Arial"/>
          <w:b/>
          <w:bCs/>
        </w:rPr>
        <w:t>ALL</w:t>
      </w:r>
      <w:r w:rsidRPr="00CB0BAE">
        <w:rPr>
          <w:rFonts w:cs="Arial"/>
        </w:rPr>
        <w:t xml:space="preserve"> of the difference is based on a bona fide factor that is related to the position and is based on:</w:t>
      </w:r>
    </w:p>
    <w:p w14:paraId="15978E7B"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A seniority system</w:t>
      </w:r>
    </w:p>
    <w:p w14:paraId="7241CFD6"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A merit system</w:t>
      </w:r>
    </w:p>
    <w:p w14:paraId="61CF3133"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A system that measures earning by quantity or quality of production</w:t>
      </w:r>
    </w:p>
    <w:p w14:paraId="649F5BB3"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Workplace locations</w:t>
      </w:r>
    </w:p>
    <w:p w14:paraId="508DCAA0"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Necessary and regular travel</w:t>
      </w:r>
    </w:p>
    <w:p w14:paraId="6AA34BD7"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Education</w:t>
      </w:r>
    </w:p>
    <w:p w14:paraId="15A170A4"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Training</w:t>
      </w:r>
    </w:p>
    <w:p w14:paraId="6D6B0EE1"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Experience</w:t>
      </w:r>
    </w:p>
    <w:p w14:paraId="3F26BCA2" w14:textId="77777777" w:rsidR="006E7A19" w:rsidRPr="00CB0BAE" w:rsidRDefault="006E7A19" w:rsidP="00CB0BAE">
      <w:pPr>
        <w:pStyle w:val="ListParagraph"/>
        <w:numPr>
          <w:ilvl w:val="0"/>
          <w:numId w:val="30"/>
        </w:numPr>
        <w:spacing w:line="300" w:lineRule="exact"/>
        <w:contextualSpacing/>
        <w:rPr>
          <w:rFonts w:ascii="Arial" w:hAnsi="Arial" w:cs="Arial"/>
          <w:sz w:val="22"/>
          <w:szCs w:val="22"/>
        </w:rPr>
      </w:pPr>
      <w:r w:rsidRPr="00CB0BAE">
        <w:rPr>
          <w:rFonts w:ascii="Arial" w:hAnsi="Arial" w:cs="Arial"/>
          <w:sz w:val="22"/>
          <w:szCs w:val="22"/>
        </w:rPr>
        <w:t>Any combination of the factors described if the combination accounts for the entire differential</w:t>
      </w:r>
    </w:p>
    <w:p w14:paraId="266D8275" w14:textId="77777777" w:rsidR="00CB0BAE" w:rsidRDefault="00CB0BAE" w:rsidP="00CB0BAE">
      <w:pPr>
        <w:spacing w:line="240" w:lineRule="auto"/>
        <w:rPr>
          <w:rFonts w:cs="Arial"/>
          <w:b/>
          <w:bCs/>
          <w:color w:val="1C2B4C"/>
          <w:sz w:val="28"/>
          <w:szCs w:val="28"/>
        </w:rPr>
      </w:pPr>
    </w:p>
    <w:p w14:paraId="4C1F6619" w14:textId="41EFC536" w:rsidR="006E7A19" w:rsidRPr="00CB0BAE" w:rsidRDefault="006E7A19" w:rsidP="00CB0BAE">
      <w:pPr>
        <w:spacing w:line="240" w:lineRule="auto"/>
        <w:rPr>
          <w:rFonts w:cs="Arial"/>
          <w:b/>
          <w:bCs/>
          <w:color w:val="1C2B4C"/>
          <w:sz w:val="28"/>
          <w:szCs w:val="28"/>
        </w:rPr>
      </w:pPr>
      <w:r w:rsidRPr="00CB0BAE">
        <w:rPr>
          <w:rFonts w:cs="Arial"/>
          <w:b/>
          <w:bCs/>
          <w:color w:val="1C2B4C"/>
          <w:sz w:val="28"/>
          <w:szCs w:val="28"/>
        </w:rPr>
        <w:t>Collective Bargaining Agreements</w:t>
      </w:r>
    </w:p>
    <w:p w14:paraId="6B9C9F5A" w14:textId="77777777" w:rsidR="006E7A19" w:rsidRPr="00CB0BAE" w:rsidRDefault="006E7A19" w:rsidP="00CB0BAE">
      <w:pPr>
        <w:pStyle w:val="ListParagraph"/>
        <w:numPr>
          <w:ilvl w:val="0"/>
          <w:numId w:val="31"/>
        </w:numPr>
        <w:spacing w:line="300" w:lineRule="exact"/>
        <w:contextualSpacing/>
        <w:rPr>
          <w:rFonts w:ascii="Arial" w:hAnsi="Arial" w:cs="Arial"/>
          <w:sz w:val="22"/>
          <w:szCs w:val="22"/>
        </w:rPr>
      </w:pPr>
      <w:r w:rsidRPr="00CB0BAE">
        <w:rPr>
          <w:rFonts w:ascii="Arial" w:hAnsi="Arial" w:cs="Arial"/>
          <w:sz w:val="22"/>
          <w:szCs w:val="22"/>
        </w:rPr>
        <w:t>Union employers can follow Collective Bargaining Agreement requirements, to the extent that the CBA references one or more of the permissible factors that justify differentials:</w:t>
      </w:r>
    </w:p>
    <w:p w14:paraId="729A2A77" w14:textId="77777777" w:rsidR="006E7A19" w:rsidRPr="00CB0BAE" w:rsidRDefault="006E7A19" w:rsidP="00E43CCA">
      <w:pPr>
        <w:pStyle w:val="ListParagraph"/>
        <w:numPr>
          <w:ilvl w:val="0"/>
          <w:numId w:val="39"/>
        </w:numPr>
        <w:spacing w:line="300" w:lineRule="exact"/>
        <w:contextualSpacing/>
        <w:rPr>
          <w:rFonts w:ascii="Arial" w:hAnsi="Arial" w:cs="Arial"/>
          <w:sz w:val="22"/>
          <w:szCs w:val="22"/>
        </w:rPr>
      </w:pPr>
      <w:r w:rsidRPr="00CB0BAE">
        <w:rPr>
          <w:rFonts w:ascii="Arial" w:hAnsi="Arial" w:cs="Arial"/>
          <w:sz w:val="22"/>
          <w:szCs w:val="22"/>
        </w:rPr>
        <w:t>Seniority, merit, quantity or quality, workplace location, travel, education, training, experience</w:t>
      </w:r>
    </w:p>
    <w:p w14:paraId="00C950BC" w14:textId="77777777" w:rsidR="00CB0BAE" w:rsidRDefault="00CB0BAE" w:rsidP="00CB0BAE">
      <w:pPr>
        <w:spacing w:line="240" w:lineRule="auto"/>
        <w:rPr>
          <w:rFonts w:cs="Arial"/>
          <w:b/>
          <w:bCs/>
          <w:color w:val="1C2B4C"/>
          <w:sz w:val="28"/>
          <w:szCs w:val="28"/>
        </w:rPr>
      </w:pPr>
    </w:p>
    <w:p w14:paraId="1F5C114A" w14:textId="78F2418A" w:rsidR="006E7A19" w:rsidRPr="00CB0BAE" w:rsidRDefault="006E7A19" w:rsidP="00CB0BAE">
      <w:pPr>
        <w:spacing w:line="240" w:lineRule="auto"/>
        <w:rPr>
          <w:rFonts w:cs="Arial"/>
          <w:b/>
          <w:bCs/>
          <w:color w:val="1C2B4C"/>
          <w:sz w:val="28"/>
          <w:szCs w:val="28"/>
        </w:rPr>
      </w:pPr>
      <w:r w:rsidRPr="00CB0BAE">
        <w:rPr>
          <w:rFonts w:cs="Arial"/>
          <w:b/>
          <w:bCs/>
          <w:color w:val="1C2B4C"/>
          <w:sz w:val="28"/>
          <w:szCs w:val="28"/>
        </w:rPr>
        <w:t>Modified Work</w:t>
      </w:r>
    </w:p>
    <w:p w14:paraId="2A1019AD" w14:textId="77777777" w:rsidR="006E7A19" w:rsidRPr="00CB0BAE" w:rsidRDefault="006E7A19" w:rsidP="006E7A19">
      <w:pPr>
        <w:rPr>
          <w:rFonts w:cs="Arial"/>
        </w:rPr>
      </w:pPr>
      <w:r w:rsidRPr="00CB0BAE">
        <w:rPr>
          <w:rFonts w:cs="Arial"/>
        </w:rPr>
        <w:t>Paying employees different rates is not considered a violation in the following cases:</w:t>
      </w:r>
    </w:p>
    <w:p w14:paraId="46B5DADD" w14:textId="77777777" w:rsidR="006E7A19" w:rsidRPr="00CB0BAE" w:rsidRDefault="006E7A19" w:rsidP="00CB0BAE">
      <w:pPr>
        <w:pStyle w:val="ListParagraph"/>
        <w:numPr>
          <w:ilvl w:val="0"/>
          <w:numId w:val="31"/>
        </w:numPr>
        <w:spacing w:line="300" w:lineRule="exact"/>
        <w:contextualSpacing/>
        <w:rPr>
          <w:rFonts w:ascii="Arial" w:hAnsi="Arial" w:cs="Arial"/>
          <w:sz w:val="22"/>
          <w:szCs w:val="22"/>
        </w:rPr>
      </w:pPr>
      <w:r w:rsidRPr="00CB0BAE">
        <w:rPr>
          <w:rFonts w:ascii="Arial" w:hAnsi="Arial" w:cs="Arial"/>
          <w:sz w:val="22"/>
          <w:szCs w:val="22"/>
        </w:rPr>
        <w:t>When an employee performs modified work due to a compensable workplace injury.</w:t>
      </w:r>
    </w:p>
    <w:p w14:paraId="499A2208" w14:textId="77777777" w:rsidR="006E7A19" w:rsidRPr="00CB0BAE" w:rsidRDefault="006E7A19" w:rsidP="00CB0BAE">
      <w:pPr>
        <w:pStyle w:val="ListParagraph"/>
        <w:numPr>
          <w:ilvl w:val="0"/>
          <w:numId w:val="31"/>
        </w:numPr>
        <w:spacing w:line="300" w:lineRule="exact"/>
        <w:contextualSpacing/>
        <w:rPr>
          <w:rFonts w:ascii="Arial" w:hAnsi="Arial" w:cs="Arial"/>
          <w:sz w:val="22"/>
          <w:szCs w:val="22"/>
        </w:rPr>
      </w:pPr>
      <w:r w:rsidRPr="00CB0BAE">
        <w:rPr>
          <w:rFonts w:ascii="Arial" w:hAnsi="Arial" w:cs="Arial"/>
          <w:sz w:val="22"/>
          <w:szCs w:val="22"/>
        </w:rPr>
        <w:t>When an employee performs modified work temporarily due to a medical condition, as authorized by a licensed medical professional or requested by the employee, provided the arrangement is temporary and does not discriminate based on a protected class.</w:t>
      </w:r>
    </w:p>
    <w:p w14:paraId="7779D965" w14:textId="77777777" w:rsidR="00CB0BAE" w:rsidRDefault="00CB0BAE" w:rsidP="00CB0BAE">
      <w:pPr>
        <w:spacing w:line="240" w:lineRule="auto"/>
        <w:rPr>
          <w:rFonts w:cs="Arial"/>
          <w:b/>
          <w:bCs/>
          <w:color w:val="1C2B4C"/>
          <w:sz w:val="28"/>
          <w:szCs w:val="28"/>
        </w:rPr>
      </w:pPr>
    </w:p>
    <w:p w14:paraId="39186D44" w14:textId="462AEAAD" w:rsidR="006E7A19" w:rsidRPr="00CB0BAE" w:rsidRDefault="006E7A19" w:rsidP="00CB0BAE">
      <w:pPr>
        <w:spacing w:line="240" w:lineRule="auto"/>
        <w:rPr>
          <w:rFonts w:cs="Arial"/>
          <w:b/>
          <w:bCs/>
          <w:color w:val="1C2B4C"/>
          <w:sz w:val="28"/>
          <w:szCs w:val="28"/>
        </w:rPr>
      </w:pPr>
      <w:r w:rsidRPr="00CB0BAE">
        <w:rPr>
          <w:rFonts w:cs="Arial"/>
          <w:b/>
          <w:bCs/>
          <w:color w:val="1C2B4C"/>
          <w:sz w:val="28"/>
          <w:szCs w:val="28"/>
        </w:rPr>
        <w:t>Proactive Measure to Mitigate Legal Risk</w:t>
      </w:r>
    </w:p>
    <w:p w14:paraId="792493CE" w14:textId="77777777" w:rsidR="006E7A19" w:rsidRPr="00CB0BAE" w:rsidRDefault="006E7A19" w:rsidP="00CB0BAE">
      <w:pPr>
        <w:pStyle w:val="ListParagraph"/>
        <w:numPr>
          <w:ilvl w:val="0"/>
          <w:numId w:val="32"/>
        </w:numPr>
        <w:spacing w:line="300" w:lineRule="exact"/>
        <w:contextualSpacing/>
        <w:rPr>
          <w:rFonts w:ascii="Arial" w:hAnsi="Arial" w:cs="Arial"/>
          <w:sz w:val="22"/>
          <w:szCs w:val="22"/>
        </w:rPr>
      </w:pPr>
      <w:r w:rsidRPr="00CB0BAE">
        <w:rPr>
          <w:rFonts w:ascii="Arial" w:hAnsi="Arial" w:cs="Arial"/>
          <w:sz w:val="22"/>
          <w:szCs w:val="22"/>
        </w:rPr>
        <w:t>Conducting an equal pay analysis within three years of the civil action filed by the employee, provided the analysis was conducted in good faith.</w:t>
      </w:r>
    </w:p>
    <w:p w14:paraId="0B473854" w14:textId="77777777" w:rsidR="006E7A19" w:rsidRPr="00CB0BAE" w:rsidRDefault="006E7A19" w:rsidP="00CB0BAE">
      <w:pPr>
        <w:pStyle w:val="ListParagraph"/>
        <w:numPr>
          <w:ilvl w:val="0"/>
          <w:numId w:val="32"/>
        </w:numPr>
        <w:spacing w:line="300" w:lineRule="exact"/>
        <w:contextualSpacing/>
        <w:rPr>
          <w:rFonts w:ascii="Arial" w:hAnsi="Arial" w:cs="Arial"/>
          <w:sz w:val="22"/>
          <w:szCs w:val="22"/>
        </w:rPr>
      </w:pPr>
      <w:r w:rsidRPr="00CB0BAE">
        <w:rPr>
          <w:rFonts w:ascii="Arial" w:hAnsi="Arial" w:cs="Arial"/>
          <w:sz w:val="22"/>
          <w:szCs w:val="22"/>
        </w:rPr>
        <w:t>Ensuring the analysis is reasonable in detail and scope, considering the size of the organization.</w:t>
      </w:r>
    </w:p>
    <w:p w14:paraId="4648B6F9" w14:textId="77777777" w:rsidR="006E7A19" w:rsidRPr="00CB0BAE" w:rsidRDefault="006E7A19" w:rsidP="00CB0BAE">
      <w:pPr>
        <w:pStyle w:val="ListParagraph"/>
        <w:numPr>
          <w:ilvl w:val="0"/>
          <w:numId w:val="32"/>
        </w:numPr>
        <w:spacing w:line="300" w:lineRule="exact"/>
        <w:contextualSpacing/>
        <w:rPr>
          <w:rFonts w:ascii="Arial" w:hAnsi="Arial" w:cs="Arial"/>
          <w:sz w:val="22"/>
          <w:szCs w:val="22"/>
        </w:rPr>
      </w:pPr>
      <w:r w:rsidRPr="00CB0BAE">
        <w:rPr>
          <w:rFonts w:ascii="Arial" w:hAnsi="Arial" w:cs="Arial"/>
          <w:sz w:val="22"/>
          <w:szCs w:val="22"/>
        </w:rPr>
        <w:t>Reviewing practices to eliminate unlawful wage differentials and demonstrating reasonable and substantial progress toward addressing such differentials.</w:t>
      </w:r>
    </w:p>
    <w:p w14:paraId="1A14B721" w14:textId="77777777" w:rsidR="00CB0BAE" w:rsidRDefault="00CB0BAE" w:rsidP="00CB0BAE">
      <w:pPr>
        <w:spacing w:line="240" w:lineRule="auto"/>
        <w:rPr>
          <w:rFonts w:cs="Arial"/>
          <w:b/>
          <w:bCs/>
          <w:color w:val="1C2B4C"/>
          <w:sz w:val="28"/>
          <w:szCs w:val="28"/>
        </w:rPr>
      </w:pPr>
    </w:p>
    <w:p w14:paraId="6EA03ABB" w14:textId="6B398E4B" w:rsidR="006E7A19" w:rsidRPr="00CB0BAE" w:rsidRDefault="006E7A19" w:rsidP="00CB0BAE">
      <w:pPr>
        <w:spacing w:line="240" w:lineRule="auto"/>
        <w:rPr>
          <w:rFonts w:cs="Arial"/>
          <w:b/>
          <w:bCs/>
          <w:color w:val="1C2B4C"/>
          <w:sz w:val="28"/>
          <w:szCs w:val="28"/>
        </w:rPr>
      </w:pPr>
      <w:r w:rsidRPr="00CB0BAE">
        <w:rPr>
          <w:rFonts w:cs="Arial"/>
          <w:b/>
          <w:bCs/>
          <w:color w:val="1C2B4C"/>
          <w:sz w:val="28"/>
          <w:szCs w:val="28"/>
        </w:rPr>
        <w:t>What is an Equal Pay Analysis?</w:t>
      </w:r>
    </w:p>
    <w:p w14:paraId="13FA14B1" w14:textId="77777777" w:rsidR="006E7A19" w:rsidRPr="006B06F1" w:rsidRDefault="006E7A19" w:rsidP="00CB0BAE">
      <w:pPr>
        <w:numPr>
          <w:ilvl w:val="0"/>
          <w:numId w:val="33"/>
        </w:numPr>
        <w:rPr>
          <w:rFonts w:cs="Arial"/>
        </w:rPr>
      </w:pPr>
      <w:r w:rsidRPr="006B06F1">
        <w:rPr>
          <w:rFonts w:cs="Arial"/>
        </w:rPr>
        <w:t>Evaluation process to assess and correct wage disparities among employees who perform work of a comparable character.</w:t>
      </w:r>
    </w:p>
    <w:p w14:paraId="7BF88E68" w14:textId="77777777" w:rsidR="006E7A19" w:rsidRPr="006B06F1" w:rsidRDefault="006E7A19" w:rsidP="00CB0BAE">
      <w:pPr>
        <w:numPr>
          <w:ilvl w:val="0"/>
          <w:numId w:val="33"/>
        </w:numPr>
        <w:rPr>
          <w:rFonts w:cs="Arial"/>
        </w:rPr>
      </w:pPr>
      <w:r w:rsidRPr="006B06F1">
        <w:rPr>
          <w:rFonts w:cs="Arial"/>
        </w:rPr>
        <w:t>Starts with an analysis to determine if wage disparities exist and is followed by adding factors to explain away all differentials.</w:t>
      </w:r>
    </w:p>
    <w:p w14:paraId="097C3042" w14:textId="77777777" w:rsidR="006E7A19" w:rsidRPr="006B06F1" w:rsidRDefault="006E7A19" w:rsidP="00CB0BAE">
      <w:pPr>
        <w:numPr>
          <w:ilvl w:val="0"/>
          <w:numId w:val="33"/>
        </w:numPr>
        <w:rPr>
          <w:rFonts w:cs="Arial"/>
        </w:rPr>
      </w:pPr>
      <w:r w:rsidRPr="006B06F1">
        <w:rPr>
          <w:rFonts w:cs="Arial"/>
        </w:rPr>
        <w:t>May require statistical analysis such as a multiple regression analysis to identify disparities based on all the factors included in making wage and compensation decisions.</w:t>
      </w:r>
    </w:p>
    <w:p w14:paraId="5E21FE5E" w14:textId="77777777" w:rsidR="00CB0BAE" w:rsidRDefault="00CB0BAE" w:rsidP="00CB0BAE">
      <w:pPr>
        <w:spacing w:line="240" w:lineRule="auto"/>
        <w:rPr>
          <w:rFonts w:cs="Arial"/>
          <w:b/>
          <w:bCs/>
          <w:color w:val="1C2B4C"/>
          <w:sz w:val="28"/>
          <w:szCs w:val="28"/>
        </w:rPr>
      </w:pPr>
    </w:p>
    <w:p w14:paraId="7C540CD8" w14:textId="27C22569" w:rsidR="006E7A19" w:rsidRPr="00CB0BAE" w:rsidRDefault="006E7A19" w:rsidP="00CB0BAE">
      <w:pPr>
        <w:spacing w:line="240" w:lineRule="auto"/>
        <w:rPr>
          <w:rFonts w:cs="Arial"/>
          <w:b/>
          <w:bCs/>
          <w:color w:val="1C2B4C"/>
          <w:sz w:val="28"/>
          <w:szCs w:val="28"/>
        </w:rPr>
      </w:pPr>
      <w:r w:rsidRPr="00CB0BAE">
        <w:rPr>
          <w:rFonts w:cs="Arial"/>
          <w:b/>
          <w:bCs/>
          <w:color w:val="1C2B4C"/>
          <w:sz w:val="28"/>
          <w:szCs w:val="28"/>
        </w:rPr>
        <w:t>Steps of a Pay Equity Analysis</w:t>
      </w:r>
    </w:p>
    <w:p w14:paraId="3F7DB580" w14:textId="77777777" w:rsidR="006E7A19" w:rsidRPr="00CB0BAE" w:rsidRDefault="006E7A19" w:rsidP="006E7A19">
      <w:pPr>
        <w:pStyle w:val="ListParagraph"/>
        <w:numPr>
          <w:ilvl w:val="0"/>
          <w:numId w:val="26"/>
        </w:numPr>
        <w:spacing w:line="300" w:lineRule="exact"/>
        <w:contextualSpacing/>
        <w:rPr>
          <w:rFonts w:ascii="Arial" w:hAnsi="Arial" w:cs="Arial"/>
          <w:color w:val="1C2B4C"/>
          <w:sz w:val="22"/>
          <w:szCs w:val="22"/>
        </w:rPr>
      </w:pPr>
      <w:r w:rsidRPr="00CB0BAE">
        <w:rPr>
          <w:rFonts w:ascii="Arial" w:hAnsi="Arial" w:cs="Arial"/>
          <w:color w:val="1C2B4C"/>
          <w:sz w:val="22"/>
          <w:szCs w:val="22"/>
        </w:rPr>
        <w:t xml:space="preserve"> </w:t>
      </w:r>
      <w:r w:rsidRPr="00CB0BAE">
        <w:rPr>
          <w:rFonts w:ascii="Arial" w:hAnsi="Arial" w:cs="Arial"/>
          <w:b/>
          <w:bCs/>
          <w:color w:val="1C2B4C"/>
          <w:sz w:val="22"/>
          <w:szCs w:val="22"/>
        </w:rPr>
        <w:t>Review and Update Job Descriptions</w:t>
      </w:r>
    </w:p>
    <w:p w14:paraId="54A8D33B" w14:textId="77777777" w:rsidR="006E7A19" w:rsidRPr="00CB0BAE" w:rsidRDefault="006E7A19" w:rsidP="00CB0BAE">
      <w:pPr>
        <w:numPr>
          <w:ilvl w:val="0"/>
          <w:numId w:val="36"/>
        </w:numPr>
        <w:rPr>
          <w:rFonts w:eastAsia="Times New Roman" w:cs="Arial"/>
        </w:rPr>
      </w:pPr>
      <w:r w:rsidRPr="00CB0BAE">
        <w:rPr>
          <w:rFonts w:eastAsia="Times New Roman" w:cs="Arial"/>
        </w:rPr>
        <w:t>Ensure job descriptions accurately reflect current responsibilities and requirements.</w:t>
      </w:r>
    </w:p>
    <w:p w14:paraId="6BBC4F34" w14:textId="77777777" w:rsidR="006E7A19" w:rsidRPr="00CB0BAE" w:rsidRDefault="006E7A19" w:rsidP="006E7A19">
      <w:pPr>
        <w:pStyle w:val="ListParagraph"/>
        <w:numPr>
          <w:ilvl w:val="0"/>
          <w:numId w:val="26"/>
        </w:numPr>
        <w:spacing w:line="300" w:lineRule="exact"/>
        <w:contextualSpacing/>
        <w:rPr>
          <w:rFonts w:ascii="Arial" w:hAnsi="Arial" w:cs="Arial"/>
          <w:color w:val="1C2B4C"/>
          <w:sz w:val="22"/>
          <w:szCs w:val="22"/>
        </w:rPr>
      </w:pPr>
      <w:r w:rsidRPr="00CB0BAE">
        <w:rPr>
          <w:rFonts w:ascii="Arial" w:hAnsi="Arial" w:cs="Arial"/>
          <w:b/>
          <w:bCs/>
          <w:color w:val="1C2B4C"/>
          <w:sz w:val="22"/>
          <w:szCs w:val="22"/>
        </w:rPr>
        <w:t>Identify Comparable Positions</w:t>
      </w:r>
    </w:p>
    <w:p w14:paraId="323776C0" w14:textId="77777777" w:rsidR="006E7A19" w:rsidRPr="00CB0BAE" w:rsidRDefault="006E7A19" w:rsidP="00CB0BAE">
      <w:pPr>
        <w:numPr>
          <w:ilvl w:val="0"/>
          <w:numId w:val="36"/>
        </w:numPr>
        <w:rPr>
          <w:rFonts w:eastAsia="Times New Roman" w:cs="Arial"/>
        </w:rPr>
      </w:pPr>
      <w:r w:rsidRPr="00CB0BAE">
        <w:rPr>
          <w:rFonts w:eastAsia="Times New Roman" w:cs="Arial"/>
        </w:rPr>
        <w:t>Group jobs based on similar duties, skills, and responsibilities—not just titles or pay grades.</w:t>
      </w:r>
    </w:p>
    <w:p w14:paraId="44D0B1F1" w14:textId="77777777" w:rsidR="00E43CCA" w:rsidRDefault="00E43CCA">
      <w:pPr>
        <w:rPr>
          <w:rFonts w:eastAsia="Times New Roman" w:cs="Arial"/>
          <w:b/>
          <w:bCs/>
          <w:color w:val="1C2B4C"/>
        </w:rPr>
      </w:pPr>
      <w:r>
        <w:rPr>
          <w:rFonts w:cs="Arial"/>
          <w:b/>
          <w:bCs/>
          <w:color w:val="1C2B4C"/>
        </w:rPr>
        <w:br w:type="page"/>
      </w:r>
    </w:p>
    <w:p w14:paraId="14D37D24" w14:textId="2E3F1335" w:rsidR="006E7A19" w:rsidRPr="00CB0BAE" w:rsidRDefault="006E7A19" w:rsidP="006E7A19">
      <w:pPr>
        <w:pStyle w:val="ListParagraph"/>
        <w:numPr>
          <w:ilvl w:val="0"/>
          <w:numId w:val="26"/>
        </w:numPr>
        <w:spacing w:line="300" w:lineRule="exact"/>
        <w:contextualSpacing/>
        <w:rPr>
          <w:rFonts w:ascii="Arial" w:hAnsi="Arial" w:cs="Arial"/>
          <w:color w:val="1C2B4C"/>
          <w:sz w:val="22"/>
          <w:szCs w:val="22"/>
        </w:rPr>
      </w:pPr>
      <w:r w:rsidRPr="00CB0BAE">
        <w:rPr>
          <w:rFonts w:ascii="Arial" w:hAnsi="Arial" w:cs="Arial"/>
          <w:b/>
          <w:bCs/>
          <w:color w:val="1C2B4C"/>
          <w:sz w:val="22"/>
          <w:szCs w:val="22"/>
        </w:rPr>
        <w:lastRenderedPageBreak/>
        <w:t>Analyze Compensation Within Groups</w:t>
      </w:r>
    </w:p>
    <w:p w14:paraId="10749C4E" w14:textId="77777777" w:rsidR="006E7A19" w:rsidRPr="00CB0BAE" w:rsidRDefault="006E7A19" w:rsidP="00CB0BAE">
      <w:pPr>
        <w:numPr>
          <w:ilvl w:val="0"/>
          <w:numId w:val="36"/>
        </w:numPr>
        <w:rPr>
          <w:rFonts w:eastAsia="Times New Roman" w:cs="Arial"/>
        </w:rPr>
      </w:pPr>
      <w:r w:rsidRPr="00CB0BAE">
        <w:rPr>
          <w:rFonts w:eastAsia="Times New Roman" w:cs="Arial"/>
        </w:rPr>
        <w:t>Assess all forms of compensation (base pay, bonuses, equity, benefits) to identify disparities.</w:t>
      </w:r>
    </w:p>
    <w:p w14:paraId="649D2816" w14:textId="77777777" w:rsidR="006E7A19" w:rsidRPr="00CB0BAE" w:rsidRDefault="006E7A19" w:rsidP="006E7A19">
      <w:pPr>
        <w:pStyle w:val="ListParagraph"/>
        <w:numPr>
          <w:ilvl w:val="0"/>
          <w:numId w:val="26"/>
        </w:numPr>
        <w:spacing w:line="300" w:lineRule="exact"/>
        <w:contextualSpacing/>
        <w:rPr>
          <w:rFonts w:ascii="Arial" w:hAnsi="Arial" w:cs="Arial"/>
          <w:color w:val="1C2B4C"/>
          <w:sz w:val="22"/>
          <w:szCs w:val="22"/>
        </w:rPr>
      </w:pPr>
      <w:r w:rsidRPr="00CB0BAE">
        <w:rPr>
          <w:rFonts w:ascii="Arial" w:hAnsi="Arial" w:cs="Arial"/>
          <w:b/>
          <w:bCs/>
          <w:color w:val="1C2B4C"/>
          <w:sz w:val="22"/>
          <w:szCs w:val="22"/>
        </w:rPr>
        <w:t>Investigate Pay Discrepancies</w:t>
      </w:r>
    </w:p>
    <w:p w14:paraId="7C17C654" w14:textId="77777777" w:rsidR="006E7A19" w:rsidRPr="00CB0BAE" w:rsidRDefault="006E7A19" w:rsidP="00CB0BAE">
      <w:pPr>
        <w:numPr>
          <w:ilvl w:val="0"/>
          <w:numId w:val="36"/>
        </w:numPr>
        <w:rPr>
          <w:rFonts w:eastAsia="Times New Roman" w:cs="Arial"/>
        </w:rPr>
      </w:pPr>
      <w:r w:rsidRPr="00CB0BAE">
        <w:rPr>
          <w:rFonts w:eastAsia="Times New Roman" w:cs="Arial"/>
        </w:rPr>
        <w:t>If differences exist, apply permissible bona fide factors (e.g., seniority, education, performance) to systematically explain them.</w:t>
      </w:r>
    </w:p>
    <w:p w14:paraId="37208BC3" w14:textId="77777777" w:rsidR="006E7A19" w:rsidRPr="00CB0BAE" w:rsidRDefault="006E7A19" w:rsidP="00CB0BAE">
      <w:pPr>
        <w:numPr>
          <w:ilvl w:val="0"/>
          <w:numId w:val="36"/>
        </w:numPr>
        <w:rPr>
          <w:rFonts w:eastAsia="Times New Roman" w:cs="Arial"/>
        </w:rPr>
      </w:pPr>
      <w:r w:rsidRPr="00CB0BAE">
        <w:rPr>
          <w:rFonts w:eastAsia="Times New Roman" w:cs="Arial"/>
        </w:rPr>
        <w:t>If disparities remain unexplained, address potential risks and take corrective action.</w:t>
      </w:r>
    </w:p>
    <w:p w14:paraId="769E8C6E" w14:textId="77777777" w:rsidR="006E7A19" w:rsidRPr="00CB0BAE" w:rsidRDefault="006E7A19" w:rsidP="006E7A19">
      <w:pPr>
        <w:pStyle w:val="ListParagraph"/>
        <w:numPr>
          <w:ilvl w:val="0"/>
          <w:numId w:val="26"/>
        </w:numPr>
        <w:spacing w:line="300" w:lineRule="exact"/>
        <w:contextualSpacing/>
        <w:rPr>
          <w:rFonts w:ascii="Arial" w:hAnsi="Arial" w:cs="Arial"/>
          <w:color w:val="1C2B4C"/>
          <w:sz w:val="22"/>
          <w:szCs w:val="22"/>
        </w:rPr>
      </w:pPr>
      <w:r w:rsidRPr="00CB0BAE">
        <w:rPr>
          <w:rFonts w:ascii="Arial" w:hAnsi="Arial" w:cs="Arial"/>
          <w:b/>
          <w:bCs/>
          <w:color w:val="1C2B4C"/>
          <w:sz w:val="22"/>
          <w:szCs w:val="22"/>
        </w:rPr>
        <w:t>Address and Correct Pay Inequities</w:t>
      </w:r>
    </w:p>
    <w:p w14:paraId="3B7E5AF0" w14:textId="77777777" w:rsidR="006E7A19" w:rsidRPr="00CB0BAE" w:rsidRDefault="006E7A19" w:rsidP="00CB0BAE">
      <w:pPr>
        <w:numPr>
          <w:ilvl w:val="0"/>
          <w:numId w:val="36"/>
        </w:numPr>
        <w:rPr>
          <w:rFonts w:eastAsia="Times New Roman" w:cs="Arial"/>
        </w:rPr>
      </w:pPr>
      <w:r w:rsidRPr="00CB0BAE">
        <w:rPr>
          <w:rFonts w:eastAsia="Times New Roman" w:cs="Arial"/>
        </w:rPr>
        <w:t>Employers must proactively eliminate unjustified wage gaps. Possible solutions include:</w:t>
      </w:r>
    </w:p>
    <w:p w14:paraId="79737024" w14:textId="77777777" w:rsidR="006E7A19" w:rsidRPr="00CB0BAE" w:rsidRDefault="006E7A19" w:rsidP="00CB0BAE">
      <w:pPr>
        <w:numPr>
          <w:ilvl w:val="1"/>
          <w:numId w:val="38"/>
        </w:numPr>
        <w:rPr>
          <w:rFonts w:eastAsia="Times New Roman" w:cs="Arial"/>
        </w:rPr>
      </w:pPr>
      <w:r w:rsidRPr="00CB0BAE">
        <w:rPr>
          <w:rFonts w:eastAsia="Times New Roman" w:cs="Arial"/>
        </w:rPr>
        <w:t>Increasing compensation for underpaid employees.</w:t>
      </w:r>
    </w:p>
    <w:p w14:paraId="5CA215CE" w14:textId="77777777" w:rsidR="006E7A19" w:rsidRPr="00CB0BAE" w:rsidRDefault="006E7A19" w:rsidP="00CB0BAE">
      <w:pPr>
        <w:numPr>
          <w:ilvl w:val="1"/>
          <w:numId w:val="38"/>
        </w:numPr>
        <w:rPr>
          <w:rFonts w:eastAsia="Times New Roman" w:cs="Arial"/>
        </w:rPr>
      </w:pPr>
      <w:r w:rsidRPr="00CB0BAE">
        <w:rPr>
          <w:rFonts w:eastAsia="Times New Roman" w:cs="Arial"/>
          <w:b/>
          <w:bCs/>
        </w:rPr>
        <w:t>Not</w:t>
      </w:r>
      <w:r w:rsidRPr="00CB0BAE">
        <w:rPr>
          <w:rFonts w:eastAsia="Times New Roman" w:cs="Arial"/>
        </w:rPr>
        <w:t xml:space="preserve"> reducing pay to achieve compliance.</w:t>
      </w:r>
    </w:p>
    <w:p w14:paraId="512B5C12" w14:textId="77777777" w:rsidR="006E7A19" w:rsidRPr="00CB0BAE" w:rsidRDefault="006E7A19" w:rsidP="00CB0BAE">
      <w:pPr>
        <w:numPr>
          <w:ilvl w:val="1"/>
          <w:numId w:val="38"/>
        </w:numPr>
        <w:rPr>
          <w:rFonts w:eastAsia="Times New Roman" w:cs="Arial"/>
        </w:rPr>
      </w:pPr>
      <w:r w:rsidRPr="00CB0BAE">
        <w:rPr>
          <w:rFonts w:eastAsia="Times New Roman" w:cs="Arial"/>
        </w:rPr>
        <w:t>Using red-circling or freezing wages for certain employees until others align.</w:t>
      </w:r>
    </w:p>
    <w:p w14:paraId="07780F63" w14:textId="77777777" w:rsidR="006E7A19" w:rsidRPr="00CB0BAE" w:rsidRDefault="006E7A19" w:rsidP="00CB0BAE">
      <w:pPr>
        <w:numPr>
          <w:ilvl w:val="1"/>
          <w:numId w:val="38"/>
        </w:numPr>
        <w:rPr>
          <w:rFonts w:eastAsia="Times New Roman" w:cs="Arial"/>
        </w:rPr>
      </w:pPr>
      <w:r w:rsidRPr="00CB0BAE">
        <w:rPr>
          <w:rFonts w:eastAsia="Times New Roman" w:cs="Arial"/>
        </w:rPr>
        <w:t>Adjusting job duties to clarify role distinctions.</w:t>
      </w:r>
    </w:p>
    <w:p w14:paraId="23F2EB36" w14:textId="77777777" w:rsidR="006E7A19" w:rsidRPr="00CB0BAE" w:rsidRDefault="006E7A19" w:rsidP="00CB0BAE">
      <w:pPr>
        <w:numPr>
          <w:ilvl w:val="1"/>
          <w:numId w:val="38"/>
        </w:numPr>
        <w:rPr>
          <w:rFonts w:eastAsia="Times New Roman" w:cs="Arial"/>
        </w:rPr>
      </w:pPr>
      <w:r w:rsidRPr="00CB0BAE">
        <w:rPr>
          <w:rFonts w:eastAsia="Times New Roman" w:cs="Arial"/>
        </w:rPr>
        <w:t>Ensuring equal access to benefits and adjusting programs if needed.</w:t>
      </w:r>
    </w:p>
    <w:p w14:paraId="39362A78" w14:textId="77777777" w:rsidR="006E7A19" w:rsidRPr="00CB0BAE" w:rsidRDefault="006E7A19" w:rsidP="00CB0BAE">
      <w:pPr>
        <w:numPr>
          <w:ilvl w:val="1"/>
          <w:numId w:val="38"/>
        </w:numPr>
        <w:rPr>
          <w:rFonts w:eastAsia="Times New Roman" w:cs="Arial"/>
        </w:rPr>
      </w:pPr>
      <w:r w:rsidRPr="00CB0BAE">
        <w:rPr>
          <w:rFonts w:eastAsia="Times New Roman" w:cs="Arial"/>
        </w:rPr>
        <w:t>Documenting legitimate, systemic methods for pay differentials.</w:t>
      </w:r>
    </w:p>
    <w:p w14:paraId="6E080BBE" w14:textId="77777777" w:rsidR="006E7A19" w:rsidRPr="00CB0BAE" w:rsidRDefault="006E7A19" w:rsidP="006E7A19">
      <w:pPr>
        <w:pStyle w:val="ListParagraph"/>
        <w:numPr>
          <w:ilvl w:val="0"/>
          <w:numId w:val="26"/>
        </w:numPr>
        <w:spacing w:line="300" w:lineRule="exact"/>
        <w:contextualSpacing/>
        <w:rPr>
          <w:rFonts w:ascii="Arial" w:hAnsi="Arial" w:cs="Arial"/>
          <w:color w:val="1C2B4C"/>
          <w:sz w:val="22"/>
          <w:szCs w:val="22"/>
        </w:rPr>
      </w:pPr>
      <w:r w:rsidRPr="00CB0BAE">
        <w:rPr>
          <w:rFonts w:ascii="Arial" w:hAnsi="Arial" w:cs="Arial"/>
          <w:b/>
          <w:bCs/>
          <w:color w:val="1C2B4C"/>
          <w:sz w:val="22"/>
          <w:szCs w:val="22"/>
        </w:rPr>
        <w:t>Implement Ongoing Compliance Measures</w:t>
      </w:r>
    </w:p>
    <w:p w14:paraId="45B7632C" w14:textId="77777777" w:rsidR="006E7A19" w:rsidRPr="00CB0BAE" w:rsidRDefault="006E7A19" w:rsidP="00CB0BAE">
      <w:pPr>
        <w:numPr>
          <w:ilvl w:val="0"/>
          <w:numId w:val="36"/>
        </w:numPr>
        <w:rPr>
          <w:rFonts w:eastAsia="Times New Roman" w:cs="Arial"/>
        </w:rPr>
      </w:pPr>
      <w:r w:rsidRPr="00CB0BAE">
        <w:rPr>
          <w:rFonts w:eastAsia="Times New Roman" w:cs="Arial"/>
        </w:rPr>
        <w:t>Update compensation policies and procedures to ensure continued compliance.</w:t>
      </w:r>
    </w:p>
    <w:p w14:paraId="27645F3C" w14:textId="77777777" w:rsidR="006E7A19" w:rsidRPr="00CB0BAE" w:rsidRDefault="006E7A19" w:rsidP="00CB0BAE">
      <w:pPr>
        <w:numPr>
          <w:ilvl w:val="0"/>
          <w:numId w:val="36"/>
        </w:numPr>
        <w:rPr>
          <w:rFonts w:eastAsia="Times New Roman" w:cs="Arial"/>
        </w:rPr>
      </w:pPr>
      <w:r w:rsidRPr="00CB0BAE">
        <w:rPr>
          <w:rFonts w:eastAsia="Times New Roman" w:cs="Arial"/>
        </w:rPr>
        <w:t>Conduct regular pay equity analyses—at least every three years—to proactively monitor and address any emerging gaps.</w:t>
      </w:r>
    </w:p>
    <w:p w14:paraId="50A648E1" w14:textId="77777777" w:rsidR="006E7A19" w:rsidRPr="006B06F1" w:rsidRDefault="006E7A19" w:rsidP="006E7A19">
      <w:pPr>
        <w:rPr>
          <w:rFonts w:cs="Arial"/>
        </w:rPr>
      </w:pPr>
    </w:p>
    <w:p w14:paraId="1646AF8A" w14:textId="77777777" w:rsidR="006E7A19" w:rsidRPr="006B06F1" w:rsidRDefault="006E7A19" w:rsidP="006E7A19">
      <w:pPr>
        <w:pStyle w:val="ListParagraph"/>
        <w:spacing w:line="300" w:lineRule="exact"/>
        <w:rPr>
          <w:rFonts w:ascii="Arial" w:hAnsi="Arial" w:cs="Arial"/>
        </w:rPr>
      </w:pPr>
    </w:p>
    <w:p w14:paraId="30C905C5" w14:textId="77777777" w:rsidR="006E7A19" w:rsidRPr="00E43CCA" w:rsidRDefault="006E7A19" w:rsidP="006E7A19">
      <w:pPr>
        <w:spacing w:line="240" w:lineRule="auto"/>
        <w:rPr>
          <w:rFonts w:cs="Arial"/>
          <w:b/>
          <w:bCs/>
          <w:color w:val="1C2B4C"/>
          <w:sz w:val="28"/>
          <w:szCs w:val="28"/>
        </w:rPr>
      </w:pPr>
      <w:r w:rsidRPr="00E43CCA">
        <w:rPr>
          <w:rFonts w:cs="Arial"/>
          <w:b/>
          <w:bCs/>
          <w:color w:val="1C2B4C"/>
          <w:sz w:val="28"/>
          <w:szCs w:val="28"/>
        </w:rPr>
        <w:t xml:space="preserve">Conclusion </w:t>
      </w:r>
    </w:p>
    <w:p w14:paraId="2AEF18BB" w14:textId="1C92D5AA" w:rsidR="006E7A19" w:rsidRPr="006B06F1" w:rsidRDefault="006E7A19" w:rsidP="006E7A19">
      <w:pPr>
        <w:rPr>
          <w:rFonts w:cs="Arial"/>
        </w:rPr>
      </w:pPr>
      <w:r w:rsidRPr="006B06F1">
        <w:rPr>
          <w:rFonts w:cs="Arial"/>
        </w:rPr>
        <w:t xml:space="preserve">Oregon’s Equal Pay Law highlights the significance of fair and transparent pay practices. Employers who familiarize themselves with the law and proactively conduct regular pay equity analyses, can create more equitable workplaces, minimize legal risks, and build stronger trust with their employees. Committing to these actions ensures not only compliance but also fosters a culture of inclusion and positivity within the organization. Reach out to our </w:t>
      </w:r>
      <w:hyperlink r:id="rId8" w:history="1">
        <w:r w:rsidRPr="006B06F1">
          <w:rPr>
            <w:rStyle w:val="Hyperlink"/>
            <w:rFonts w:cs="Arial"/>
          </w:rPr>
          <w:t>compensation team</w:t>
        </w:r>
      </w:hyperlink>
      <w:r w:rsidRPr="006B06F1">
        <w:rPr>
          <w:rFonts w:cs="Arial"/>
        </w:rPr>
        <w:t xml:space="preserve"> today for expert consulting support!</w:t>
      </w:r>
    </w:p>
    <w:p w14:paraId="1BFD81A5" w14:textId="77777777" w:rsidR="006E7A19" w:rsidRDefault="006E7A19" w:rsidP="006E7A19">
      <w:pPr>
        <w:pStyle w:val="NoSpacing"/>
        <w:spacing w:line="300" w:lineRule="exact"/>
        <w:rPr>
          <w:rFonts w:ascii="Arial" w:hAnsi="Arial" w:cs="Arial"/>
        </w:rPr>
      </w:pPr>
    </w:p>
    <w:p w14:paraId="6824D14A" w14:textId="77777777" w:rsidR="006E7A19" w:rsidRDefault="006E7A19" w:rsidP="006E7A19">
      <w:pPr>
        <w:pStyle w:val="NoSpacing"/>
        <w:spacing w:line="300" w:lineRule="exact"/>
        <w:rPr>
          <w:rFonts w:ascii="Arial" w:hAnsi="Arial" w:cs="Arial"/>
        </w:rPr>
      </w:pPr>
    </w:p>
    <w:p w14:paraId="66618954" w14:textId="77777777" w:rsidR="006E7A19" w:rsidRDefault="006E7A19" w:rsidP="00A46185">
      <w:pPr>
        <w:pStyle w:val="NoSpacing"/>
        <w:spacing w:line="300" w:lineRule="exact"/>
        <w:rPr>
          <w:rFonts w:ascii="Arial" w:hAnsi="Arial" w:cs="Arial"/>
        </w:rPr>
      </w:pPr>
    </w:p>
    <w:p w14:paraId="59692AEC" w14:textId="77777777" w:rsidR="006E7A19" w:rsidRDefault="006E7A19" w:rsidP="00A46185">
      <w:pPr>
        <w:pStyle w:val="NoSpacing"/>
        <w:spacing w:line="300" w:lineRule="exact"/>
        <w:rPr>
          <w:rFonts w:ascii="Arial" w:hAnsi="Arial" w:cs="Arial"/>
        </w:rPr>
      </w:pPr>
    </w:p>
    <w:p w14:paraId="53E0117E" w14:textId="77777777" w:rsidR="006E7A19" w:rsidRDefault="006E7A19" w:rsidP="00A46185">
      <w:pPr>
        <w:pStyle w:val="NoSpacing"/>
        <w:spacing w:line="300" w:lineRule="exact"/>
        <w:rPr>
          <w:rFonts w:ascii="Arial" w:hAnsi="Arial" w:cs="Arial"/>
        </w:rPr>
      </w:pPr>
    </w:p>
    <w:p w14:paraId="2354B049" w14:textId="77777777" w:rsidR="006E7A19" w:rsidRDefault="006E7A19" w:rsidP="00A46185">
      <w:pPr>
        <w:pStyle w:val="NoSpacing"/>
        <w:spacing w:line="300" w:lineRule="exact"/>
        <w:rPr>
          <w:rFonts w:ascii="Arial" w:hAnsi="Arial" w:cs="Arial"/>
        </w:rPr>
      </w:pPr>
    </w:p>
    <w:sectPr w:rsidR="006E7A19" w:rsidSect="001B584B">
      <w:footerReference w:type="default" r:id="rId9"/>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22BE11B3"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E15ED7">
      <w:rPr>
        <w:b/>
        <w:bCs/>
        <w:color w:val="1D2C4C"/>
      </w:rPr>
      <w:t>compensation</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618"/>
    <w:multiLevelType w:val="multilevel"/>
    <w:tmpl w:val="55B2F304"/>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60E"/>
    <w:multiLevelType w:val="multilevel"/>
    <w:tmpl w:val="D9E275C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141C0"/>
    <w:multiLevelType w:val="hybridMultilevel"/>
    <w:tmpl w:val="76C260C0"/>
    <w:lvl w:ilvl="0" w:tplc="97C286B4">
      <w:start w:val="1"/>
      <w:numFmt w:val="decimal"/>
      <w:lvlText w:val="%1."/>
      <w:lvlJc w:val="left"/>
      <w:pPr>
        <w:ind w:left="720" w:hanging="360"/>
      </w:pPr>
      <w:rPr>
        <w:rFonts w:hint="default"/>
        <w:color w:val="1C2B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9D8"/>
    <w:multiLevelType w:val="multilevel"/>
    <w:tmpl w:val="916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576F3"/>
    <w:multiLevelType w:val="multilevel"/>
    <w:tmpl w:val="3B5A5C9C"/>
    <w:lvl w:ilvl="0">
      <w:start w:val="1"/>
      <w:numFmt w:val="bullet"/>
      <w:lvlText w:val="o"/>
      <w:lvlJc w:val="left"/>
      <w:pPr>
        <w:tabs>
          <w:tab w:val="num" w:pos="720"/>
        </w:tabs>
        <w:ind w:left="720" w:hanging="360"/>
      </w:pPr>
      <w:rPr>
        <w:rFonts w:ascii="Courier New" w:hAnsi="Courier New" w:hint="default"/>
        <w:b w:val="0"/>
        <w:bCs w:val="0"/>
        <w:i w:val="0"/>
        <w:iCs w:val="0"/>
        <w:color w:val="auto"/>
        <w:w w:val="97"/>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C6642"/>
    <w:multiLevelType w:val="multilevel"/>
    <w:tmpl w:val="690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B0B6D"/>
    <w:multiLevelType w:val="multilevel"/>
    <w:tmpl w:val="6BA88BB6"/>
    <w:lvl w:ilvl="0">
      <w:start w:val="1"/>
      <w:numFmt w:val="bullet"/>
      <w:lvlText w:val="o"/>
      <w:lvlJc w:val="left"/>
      <w:pPr>
        <w:tabs>
          <w:tab w:val="num" w:pos="720"/>
        </w:tabs>
        <w:ind w:left="720" w:hanging="360"/>
      </w:pPr>
      <w:rPr>
        <w:rFonts w:ascii="Courier New" w:hAnsi="Courier New" w:hint="default"/>
        <w:b w:val="0"/>
        <w:bCs w:val="0"/>
        <w:i w:val="0"/>
        <w:iCs w:val="0"/>
        <w:color w:val="1D2C4C"/>
        <w:w w:val="97"/>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1495C"/>
    <w:multiLevelType w:val="multilevel"/>
    <w:tmpl w:val="758E4D7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51098"/>
    <w:multiLevelType w:val="hybridMultilevel"/>
    <w:tmpl w:val="B234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649FE"/>
    <w:multiLevelType w:val="hybridMultilevel"/>
    <w:tmpl w:val="96163F66"/>
    <w:lvl w:ilvl="0" w:tplc="B4F0CE46">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F0E03"/>
    <w:multiLevelType w:val="multilevel"/>
    <w:tmpl w:val="F346496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B3B68"/>
    <w:multiLevelType w:val="hybridMultilevel"/>
    <w:tmpl w:val="9EDE1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25E89"/>
    <w:multiLevelType w:val="multilevel"/>
    <w:tmpl w:val="CD5A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53115"/>
    <w:multiLevelType w:val="hybridMultilevel"/>
    <w:tmpl w:val="CA7217DE"/>
    <w:lvl w:ilvl="0" w:tplc="0396E57E">
      <w:start w:val="1"/>
      <w:numFmt w:val="bullet"/>
      <w:lvlText w:val=""/>
      <w:lvlJc w:val="left"/>
      <w:pPr>
        <w:tabs>
          <w:tab w:val="num" w:pos="720"/>
        </w:tabs>
        <w:ind w:left="720" w:hanging="360"/>
      </w:pPr>
      <w:rPr>
        <w:rFonts w:ascii="Wingdings" w:hAnsi="Wingdings" w:hint="default"/>
        <w:color w:val="1D2C4C"/>
        <w:sz w:val="22"/>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A77A1"/>
    <w:multiLevelType w:val="hybridMultilevel"/>
    <w:tmpl w:val="443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76CF9"/>
    <w:multiLevelType w:val="multilevel"/>
    <w:tmpl w:val="2AFA1B0A"/>
    <w:lvl w:ilvl="0">
      <w:start w:val="1"/>
      <w:numFmt w:val="bullet"/>
      <w:lvlText w:val="o"/>
      <w:lvlJc w:val="left"/>
      <w:pPr>
        <w:tabs>
          <w:tab w:val="num" w:pos="1080"/>
        </w:tabs>
        <w:ind w:left="1080" w:hanging="360"/>
      </w:pPr>
      <w:rPr>
        <w:rFonts w:ascii="Courier New" w:hAnsi="Courier New" w:cs="Courier New" w:hint="default"/>
        <w:b w:val="0"/>
        <w:bCs w:val="0"/>
        <w:i w:val="0"/>
        <w:iCs w:val="0"/>
        <w:color w:val="auto"/>
        <w:w w:val="97"/>
        <w:sz w:val="22"/>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E6A5FF8"/>
    <w:multiLevelType w:val="multilevel"/>
    <w:tmpl w:val="7E5AD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06DA0"/>
    <w:multiLevelType w:val="multilevel"/>
    <w:tmpl w:val="D568ADD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777E9"/>
    <w:multiLevelType w:val="multilevel"/>
    <w:tmpl w:val="E41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93F3E"/>
    <w:multiLevelType w:val="hybridMultilevel"/>
    <w:tmpl w:val="8ED63418"/>
    <w:lvl w:ilvl="0" w:tplc="0396E57E">
      <w:start w:val="1"/>
      <w:numFmt w:val="bullet"/>
      <w:lvlText w:val=""/>
      <w:lvlJc w:val="left"/>
      <w:pPr>
        <w:ind w:left="720" w:hanging="360"/>
      </w:pPr>
      <w:rPr>
        <w:rFonts w:ascii="Wingdings" w:hAnsi="Wingdings" w:hint="default"/>
        <w:color w:val="1D2C4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4A4D01"/>
    <w:multiLevelType w:val="multilevel"/>
    <w:tmpl w:val="A89AA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57E74"/>
    <w:multiLevelType w:val="multilevel"/>
    <w:tmpl w:val="4B3236E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C1AC6"/>
    <w:multiLevelType w:val="hybridMultilevel"/>
    <w:tmpl w:val="16949204"/>
    <w:lvl w:ilvl="0" w:tplc="04090003">
      <w:start w:val="1"/>
      <w:numFmt w:val="bullet"/>
      <w:lvlText w:val="o"/>
      <w:lvlJc w:val="left"/>
      <w:pPr>
        <w:ind w:left="1080" w:hanging="360"/>
      </w:pPr>
      <w:rPr>
        <w:rFonts w:ascii="Courier New" w:hAnsi="Courier New" w:cs="Courier New" w:hint="default"/>
        <w:color w:val="1D2C4C"/>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2B30E58"/>
    <w:multiLevelType w:val="hybridMultilevel"/>
    <w:tmpl w:val="6D885612"/>
    <w:lvl w:ilvl="0" w:tplc="0396E57E">
      <w:start w:val="1"/>
      <w:numFmt w:val="bullet"/>
      <w:lvlText w:val=""/>
      <w:lvlJc w:val="left"/>
      <w:pPr>
        <w:ind w:left="720" w:hanging="360"/>
      </w:pPr>
      <w:rPr>
        <w:rFonts w:ascii="Wingdings" w:hAnsi="Wingdings" w:hint="default"/>
        <w:color w:val="1D2C4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C74397"/>
    <w:multiLevelType w:val="hybridMultilevel"/>
    <w:tmpl w:val="68027C36"/>
    <w:lvl w:ilvl="0" w:tplc="FFFFFFFF">
      <w:start w:val="1"/>
      <w:numFmt w:val="bullet"/>
      <w:lvlText w:val=""/>
      <w:lvlJc w:val="left"/>
      <w:pPr>
        <w:ind w:left="720" w:hanging="360"/>
      </w:pPr>
      <w:rPr>
        <w:rFonts w:ascii="Symbol" w:hAnsi="Symbol" w:hint="default"/>
      </w:rPr>
    </w:lvl>
    <w:lvl w:ilvl="1" w:tplc="0396E57E">
      <w:start w:val="1"/>
      <w:numFmt w:val="bullet"/>
      <w:lvlText w:val=""/>
      <w:lvlJc w:val="left"/>
      <w:pPr>
        <w:ind w:left="1440" w:hanging="360"/>
      </w:pPr>
      <w:rPr>
        <w:rFonts w:ascii="Wingdings" w:hAnsi="Wingdings" w:hint="default"/>
        <w:color w:val="1D2C4C"/>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AA08BE"/>
    <w:multiLevelType w:val="multilevel"/>
    <w:tmpl w:val="41027CD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E149B"/>
    <w:multiLevelType w:val="multilevel"/>
    <w:tmpl w:val="63C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B4D35"/>
    <w:multiLevelType w:val="hybridMultilevel"/>
    <w:tmpl w:val="96C69712"/>
    <w:lvl w:ilvl="0" w:tplc="0396E57E">
      <w:start w:val="1"/>
      <w:numFmt w:val="bullet"/>
      <w:lvlText w:val=""/>
      <w:lvlJc w:val="left"/>
      <w:pPr>
        <w:ind w:left="720" w:hanging="360"/>
      </w:pPr>
      <w:rPr>
        <w:rFonts w:ascii="Wingdings" w:hAnsi="Wingdings" w:hint="default"/>
        <w:color w:val="1D2C4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5B56DA"/>
    <w:multiLevelType w:val="hybridMultilevel"/>
    <w:tmpl w:val="5F081932"/>
    <w:lvl w:ilvl="0" w:tplc="B4F0CE46">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27062B"/>
    <w:multiLevelType w:val="multilevel"/>
    <w:tmpl w:val="45ECCC6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F4CA3"/>
    <w:multiLevelType w:val="hybridMultilevel"/>
    <w:tmpl w:val="C66E20A6"/>
    <w:lvl w:ilvl="0" w:tplc="04090001">
      <w:start w:val="1"/>
      <w:numFmt w:val="bullet"/>
      <w:lvlText w:val=""/>
      <w:lvlJc w:val="left"/>
      <w:pPr>
        <w:tabs>
          <w:tab w:val="num" w:pos="720"/>
        </w:tabs>
        <w:ind w:left="720" w:hanging="360"/>
      </w:pPr>
      <w:rPr>
        <w:rFonts w:ascii="Symbol" w:hAnsi="Symbol" w:hint="default"/>
      </w:rPr>
    </w:lvl>
    <w:lvl w:ilvl="1" w:tplc="8542DC3A" w:tentative="1">
      <w:start w:val="1"/>
      <w:numFmt w:val="bullet"/>
      <w:lvlText w:val=""/>
      <w:lvlJc w:val="left"/>
      <w:pPr>
        <w:tabs>
          <w:tab w:val="num" w:pos="1440"/>
        </w:tabs>
        <w:ind w:left="1440" w:hanging="360"/>
      </w:pPr>
      <w:rPr>
        <w:rFonts w:ascii="Wingdings" w:hAnsi="Wingdings" w:hint="default"/>
      </w:rPr>
    </w:lvl>
    <w:lvl w:ilvl="2" w:tplc="284C59EC" w:tentative="1">
      <w:start w:val="1"/>
      <w:numFmt w:val="bullet"/>
      <w:lvlText w:val=""/>
      <w:lvlJc w:val="left"/>
      <w:pPr>
        <w:tabs>
          <w:tab w:val="num" w:pos="2160"/>
        </w:tabs>
        <w:ind w:left="2160" w:hanging="360"/>
      </w:pPr>
      <w:rPr>
        <w:rFonts w:ascii="Wingdings" w:hAnsi="Wingdings" w:hint="default"/>
      </w:rPr>
    </w:lvl>
    <w:lvl w:ilvl="3" w:tplc="1AFC7ADE" w:tentative="1">
      <w:start w:val="1"/>
      <w:numFmt w:val="bullet"/>
      <w:lvlText w:val=""/>
      <w:lvlJc w:val="left"/>
      <w:pPr>
        <w:tabs>
          <w:tab w:val="num" w:pos="2880"/>
        </w:tabs>
        <w:ind w:left="2880" w:hanging="360"/>
      </w:pPr>
      <w:rPr>
        <w:rFonts w:ascii="Wingdings" w:hAnsi="Wingdings" w:hint="default"/>
      </w:rPr>
    </w:lvl>
    <w:lvl w:ilvl="4" w:tplc="180CEEA0" w:tentative="1">
      <w:start w:val="1"/>
      <w:numFmt w:val="bullet"/>
      <w:lvlText w:val=""/>
      <w:lvlJc w:val="left"/>
      <w:pPr>
        <w:tabs>
          <w:tab w:val="num" w:pos="3600"/>
        </w:tabs>
        <w:ind w:left="3600" w:hanging="360"/>
      </w:pPr>
      <w:rPr>
        <w:rFonts w:ascii="Wingdings" w:hAnsi="Wingdings" w:hint="default"/>
      </w:rPr>
    </w:lvl>
    <w:lvl w:ilvl="5" w:tplc="39A25E26" w:tentative="1">
      <w:start w:val="1"/>
      <w:numFmt w:val="bullet"/>
      <w:lvlText w:val=""/>
      <w:lvlJc w:val="left"/>
      <w:pPr>
        <w:tabs>
          <w:tab w:val="num" w:pos="4320"/>
        </w:tabs>
        <w:ind w:left="4320" w:hanging="360"/>
      </w:pPr>
      <w:rPr>
        <w:rFonts w:ascii="Wingdings" w:hAnsi="Wingdings" w:hint="default"/>
      </w:rPr>
    </w:lvl>
    <w:lvl w:ilvl="6" w:tplc="5406CCC6" w:tentative="1">
      <w:start w:val="1"/>
      <w:numFmt w:val="bullet"/>
      <w:lvlText w:val=""/>
      <w:lvlJc w:val="left"/>
      <w:pPr>
        <w:tabs>
          <w:tab w:val="num" w:pos="5040"/>
        </w:tabs>
        <w:ind w:left="5040" w:hanging="360"/>
      </w:pPr>
      <w:rPr>
        <w:rFonts w:ascii="Wingdings" w:hAnsi="Wingdings" w:hint="default"/>
      </w:rPr>
    </w:lvl>
    <w:lvl w:ilvl="7" w:tplc="454CE1A8" w:tentative="1">
      <w:start w:val="1"/>
      <w:numFmt w:val="bullet"/>
      <w:lvlText w:val=""/>
      <w:lvlJc w:val="left"/>
      <w:pPr>
        <w:tabs>
          <w:tab w:val="num" w:pos="5760"/>
        </w:tabs>
        <w:ind w:left="5760" w:hanging="360"/>
      </w:pPr>
      <w:rPr>
        <w:rFonts w:ascii="Wingdings" w:hAnsi="Wingdings" w:hint="default"/>
      </w:rPr>
    </w:lvl>
    <w:lvl w:ilvl="8" w:tplc="A4467E6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1B8B"/>
    <w:multiLevelType w:val="hybridMultilevel"/>
    <w:tmpl w:val="AFD64CBA"/>
    <w:lvl w:ilvl="0" w:tplc="0396E57E">
      <w:start w:val="1"/>
      <w:numFmt w:val="bullet"/>
      <w:lvlText w:val=""/>
      <w:lvlJc w:val="left"/>
      <w:pPr>
        <w:ind w:left="720" w:hanging="360"/>
      </w:pPr>
      <w:rPr>
        <w:rFonts w:ascii="Wingdings" w:hAnsi="Wingdings" w:hint="default"/>
        <w:color w:val="1D2C4C"/>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8277B6"/>
    <w:multiLevelType w:val="hybridMultilevel"/>
    <w:tmpl w:val="ADCC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353EA"/>
    <w:multiLevelType w:val="multilevel"/>
    <w:tmpl w:val="ACFA8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hAnsi="Arial" w:hint="default"/>
        <w:color w:val="1C2B4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37B6B"/>
    <w:multiLevelType w:val="hybridMultilevel"/>
    <w:tmpl w:val="9152816C"/>
    <w:lvl w:ilvl="0" w:tplc="0396E57E">
      <w:start w:val="1"/>
      <w:numFmt w:val="bullet"/>
      <w:lvlText w:val=""/>
      <w:lvlJc w:val="left"/>
      <w:pPr>
        <w:ind w:left="720" w:hanging="360"/>
      </w:pPr>
      <w:rPr>
        <w:rFonts w:ascii="Wingdings" w:hAnsi="Wingdings" w:hint="default"/>
        <w:color w:val="1D2C4C"/>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751904"/>
    <w:multiLevelType w:val="multilevel"/>
    <w:tmpl w:val="BA42EED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C5C3E"/>
    <w:multiLevelType w:val="hybridMultilevel"/>
    <w:tmpl w:val="07A6C502"/>
    <w:lvl w:ilvl="0" w:tplc="B4F0CE46">
      <w:start w:val="1"/>
      <w:numFmt w:val="bullet"/>
      <w:lvlText w:val=""/>
      <w:lvlJc w:val="left"/>
      <w:pPr>
        <w:ind w:left="1080" w:hanging="360"/>
      </w:pPr>
      <w:rPr>
        <w:rFonts w:ascii="Wingdings" w:hAnsi="Wingdings" w:hint="default"/>
        <w:color w:val="1D2C4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000E1E"/>
    <w:multiLevelType w:val="multilevel"/>
    <w:tmpl w:val="C220ED16"/>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4676DA"/>
    <w:multiLevelType w:val="hybridMultilevel"/>
    <w:tmpl w:val="2A964270"/>
    <w:lvl w:ilvl="0" w:tplc="04090001">
      <w:start w:val="1"/>
      <w:numFmt w:val="bullet"/>
      <w:lvlText w:val=""/>
      <w:lvlJc w:val="left"/>
      <w:pPr>
        <w:tabs>
          <w:tab w:val="num" w:pos="720"/>
        </w:tabs>
        <w:ind w:left="720" w:hanging="360"/>
      </w:pPr>
      <w:rPr>
        <w:rFonts w:ascii="Symbol" w:hAnsi="Symbol" w:hint="default"/>
      </w:rPr>
    </w:lvl>
    <w:lvl w:ilvl="1" w:tplc="3294D968" w:tentative="1">
      <w:start w:val="1"/>
      <w:numFmt w:val="bullet"/>
      <w:lvlText w:val=""/>
      <w:lvlJc w:val="left"/>
      <w:pPr>
        <w:tabs>
          <w:tab w:val="num" w:pos="1440"/>
        </w:tabs>
        <w:ind w:left="1440" w:hanging="360"/>
      </w:pPr>
      <w:rPr>
        <w:rFonts w:ascii="Wingdings" w:hAnsi="Wingdings" w:hint="default"/>
      </w:rPr>
    </w:lvl>
    <w:lvl w:ilvl="2" w:tplc="F49CBD9E" w:tentative="1">
      <w:start w:val="1"/>
      <w:numFmt w:val="bullet"/>
      <w:lvlText w:val=""/>
      <w:lvlJc w:val="left"/>
      <w:pPr>
        <w:tabs>
          <w:tab w:val="num" w:pos="2160"/>
        </w:tabs>
        <w:ind w:left="2160" w:hanging="360"/>
      </w:pPr>
      <w:rPr>
        <w:rFonts w:ascii="Wingdings" w:hAnsi="Wingdings" w:hint="default"/>
      </w:rPr>
    </w:lvl>
    <w:lvl w:ilvl="3" w:tplc="D3AE5374" w:tentative="1">
      <w:start w:val="1"/>
      <w:numFmt w:val="bullet"/>
      <w:lvlText w:val=""/>
      <w:lvlJc w:val="left"/>
      <w:pPr>
        <w:tabs>
          <w:tab w:val="num" w:pos="2880"/>
        </w:tabs>
        <w:ind w:left="2880" w:hanging="360"/>
      </w:pPr>
      <w:rPr>
        <w:rFonts w:ascii="Wingdings" w:hAnsi="Wingdings" w:hint="default"/>
      </w:rPr>
    </w:lvl>
    <w:lvl w:ilvl="4" w:tplc="EC725B2A" w:tentative="1">
      <w:start w:val="1"/>
      <w:numFmt w:val="bullet"/>
      <w:lvlText w:val=""/>
      <w:lvlJc w:val="left"/>
      <w:pPr>
        <w:tabs>
          <w:tab w:val="num" w:pos="3600"/>
        </w:tabs>
        <w:ind w:left="3600" w:hanging="360"/>
      </w:pPr>
      <w:rPr>
        <w:rFonts w:ascii="Wingdings" w:hAnsi="Wingdings" w:hint="default"/>
      </w:rPr>
    </w:lvl>
    <w:lvl w:ilvl="5" w:tplc="C016B004" w:tentative="1">
      <w:start w:val="1"/>
      <w:numFmt w:val="bullet"/>
      <w:lvlText w:val=""/>
      <w:lvlJc w:val="left"/>
      <w:pPr>
        <w:tabs>
          <w:tab w:val="num" w:pos="4320"/>
        </w:tabs>
        <w:ind w:left="4320" w:hanging="360"/>
      </w:pPr>
      <w:rPr>
        <w:rFonts w:ascii="Wingdings" w:hAnsi="Wingdings" w:hint="default"/>
      </w:rPr>
    </w:lvl>
    <w:lvl w:ilvl="6" w:tplc="0EEE2C1E" w:tentative="1">
      <w:start w:val="1"/>
      <w:numFmt w:val="bullet"/>
      <w:lvlText w:val=""/>
      <w:lvlJc w:val="left"/>
      <w:pPr>
        <w:tabs>
          <w:tab w:val="num" w:pos="5040"/>
        </w:tabs>
        <w:ind w:left="5040" w:hanging="360"/>
      </w:pPr>
      <w:rPr>
        <w:rFonts w:ascii="Wingdings" w:hAnsi="Wingdings" w:hint="default"/>
      </w:rPr>
    </w:lvl>
    <w:lvl w:ilvl="7" w:tplc="01381CAE" w:tentative="1">
      <w:start w:val="1"/>
      <w:numFmt w:val="bullet"/>
      <w:lvlText w:val=""/>
      <w:lvlJc w:val="left"/>
      <w:pPr>
        <w:tabs>
          <w:tab w:val="num" w:pos="5760"/>
        </w:tabs>
        <w:ind w:left="5760" w:hanging="360"/>
      </w:pPr>
      <w:rPr>
        <w:rFonts w:ascii="Wingdings" w:hAnsi="Wingdings" w:hint="default"/>
      </w:rPr>
    </w:lvl>
    <w:lvl w:ilvl="8" w:tplc="AF40C734" w:tentative="1">
      <w:start w:val="1"/>
      <w:numFmt w:val="bullet"/>
      <w:lvlText w:val=""/>
      <w:lvlJc w:val="left"/>
      <w:pPr>
        <w:tabs>
          <w:tab w:val="num" w:pos="6480"/>
        </w:tabs>
        <w:ind w:left="6480" w:hanging="360"/>
      </w:pPr>
      <w:rPr>
        <w:rFonts w:ascii="Wingdings" w:hAnsi="Wingdings" w:hint="default"/>
      </w:rPr>
    </w:lvl>
  </w:abstractNum>
  <w:num w:numId="1" w16cid:durableId="57368362">
    <w:abstractNumId w:val="25"/>
  </w:num>
  <w:num w:numId="2" w16cid:durableId="951012629">
    <w:abstractNumId w:val="0"/>
  </w:num>
  <w:num w:numId="3" w16cid:durableId="1993174791">
    <w:abstractNumId w:val="21"/>
  </w:num>
  <w:num w:numId="4" w16cid:durableId="7366167">
    <w:abstractNumId w:val="7"/>
  </w:num>
  <w:num w:numId="5" w16cid:durableId="1450079665">
    <w:abstractNumId w:val="17"/>
  </w:num>
  <w:num w:numId="6" w16cid:durableId="1203372214">
    <w:abstractNumId w:val="36"/>
  </w:num>
  <w:num w:numId="7" w16cid:durableId="697857099">
    <w:abstractNumId w:val="9"/>
  </w:num>
  <w:num w:numId="8" w16cid:durableId="1451246893">
    <w:abstractNumId w:val="29"/>
  </w:num>
  <w:num w:numId="9" w16cid:durableId="1921408922">
    <w:abstractNumId w:val="1"/>
  </w:num>
  <w:num w:numId="10" w16cid:durableId="873464931">
    <w:abstractNumId w:val="10"/>
  </w:num>
  <w:num w:numId="11" w16cid:durableId="1974603702">
    <w:abstractNumId w:val="35"/>
  </w:num>
  <w:num w:numId="12" w16cid:durableId="690297581">
    <w:abstractNumId w:val="28"/>
  </w:num>
  <w:num w:numId="13" w16cid:durableId="1132790479">
    <w:abstractNumId w:val="32"/>
  </w:num>
  <w:num w:numId="14" w16cid:durableId="2056344358">
    <w:abstractNumId w:val="11"/>
  </w:num>
  <w:num w:numId="15" w16cid:durableId="483788590">
    <w:abstractNumId w:val="8"/>
  </w:num>
  <w:num w:numId="16" w16cid:durableId="1039817946">
    <w:abstractNumId w:val="37"/>
  </w:num>
  <w:num w:numId="17" w16cid:durableId="534197065">
    <w:abstractNumId w:val="14"/>
  </w:num>
  <w:num w:numId="18" w16cid:durableId="390811474">
    <w:abstractNumId w:val="38"/>
  </w:num>
  <w:num w:numId="19" w16cid:durableId="1848521867">
    <w:abstractNumId w:val="30"/>
  </w:num>
  <w:num w:numId="20" w16cid:durableId="926425354">
    <w:abstractNumId w:val="26"/>
  </w:num>
  <w:num w:numId="21" w16cid:durableId="629477667">
    <w:abstractNumId w:val="5"/>
  </w:num>
  <w:num w:numId="22" w16cid:durableId="829752158">
    <w:abstractNumId w:val="18"/>
  </w:num>
  <w:num w:numId="23" w16cid:durableId="1284387910">
    <w:abstractNumId w:val="3"/>
  </w:num>
  <w:num w:numId="24" w16cid:durableId="722755496">
    <w:abstractNumId w:val="20"/>
  </w:num>
  <w:num w:numId="25" w16cid:durableId="231743460">
    <w:abstractNumId w:val="12"/>
  </w:num>
  <w:num w:numId="26" w16cid:durableId="1161383307">
    <w:abstractNumId w:val="2"/>
  </w:num>
  <w:num w:numId="27" w16cid:durableId="981616105">
    <w:abstractNumId w:val="24"/>
  </w:num>
  <w:num w:numId="28" w16cid:durableId="2057854383">
    <w:abstractNumId w:val="34"/>
  </w:num>
  <w:num w:numId="29" w16cid:durableId="1739669415">
    <w:abstractNumId w:val="23"/>
  </w:num>
  <w:num w:numId="30" w16cid:durableId="1818761569">
    <w:abstractNumId w:val="31"/>
  </w:num>
  <w:num w:numId="31" w16cid:durableId="1078333202">
    <w:abstractNumId w:val="27"/>
  </w:num>
  <w:num w:numId="32" w16cid:durableId="1853176957">
    <w:abstractNumId w:val="19"/>
  </w:num>
  <w:num w:numId="33" w16cid:durableId="672995004">
    <w:abstractNumId w:val="13"/>
  </w:num>
  <w:num w:numId="34" w16cid:durableId="2119912444">
    <w:abstractNumId w:val="6"/>
  </w:num>
  <w:num w:numId="35" w16cid:durableId="655108289">
    <w:abstractNumId w:val="4"/>
  </w:num>
  <w:num w:numId="36" w16cid:durableId="1796215612">
    <w:abstractNumId w:val="15"/>
  </w:num>
  <w:num w:numId="37" w16cid:durableId="10305061">
    <w:abstractNumId w:val="16"/>
  </w:num>
  <w:num w:numId="38" w16cid:durableId="2125687770">
    <w:abstractNumId w:val="33"/>
  </w:num>
  <w:num w:numId="39" w16cid:durableId="157103835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0842"/>
    <w:rsid w:val="000058D7"/>
    <w:rsid w:val="000660A6"/>
    <w:rsid w:val="000662A1"/>
    <w:rsid w:val="000C0859"/>
    <w:rsid w:val="000C0FF9"/>
    <w:rsid w:val="000F5FE7"/>
    <w:rsid w:val="00100D71"/>
    <w:rsid w:val="00183952"/>
    <w:rsid w:val="0018511A"/>
    <w:rsid w:val="00191125"/>
    <w:rsid w:val="001922C5"/>
    <w:rsid w:val="001A3384"/>
    <w:rsid w:val="001B584B"/>
    <w:rsid w:val="001E334E"/>
    <w:rsid w:val="001E583C"/>
    <w:rsid w:val="002055CD"/>
    <w:rsid w:val="0022171D"/>
    <w:rsid w:val="00230DD2"/>
    <w:rsid w:val="0029540E"/>
    <w:rsid w:val="002A0D70"/>
    <w:rsid w:val="002F6AA5"/>
    <w:rsid w:val="00311072"/>
    <w:rsid w:val="00322995"/>
    <w:rsid w:val="003A1F38"/>
    <w:rsid w:val="003E5C24"/>
    <w:rsid w:val="0040641F"/>
    <w:rsid w:val="00422E08"/>
    <w:rsid w:val="00423533"/>
    <w:rsid w:val="00424543"/>
    <w:rsid w:val="00437B6E"/>
    <w:rsid w:val="00443AF0"/>
    <w:rsid w:val="00467983"/>
    <w:rsid w:val="00470278"/>
    <w:rsid w:val="004766BC"/>
    <w:rsid w:val="004A1023"/>
    <w:rsid w:val="004C42D4"/>
    <w:rsid w:val="005E0DF9"/>
    <w:rsid w:val="006076D2"/>
    <w:rsid w:val="00646A2F"/>
    <w:rsid w:val="0066669F"/>
    <w:rsid w:val="00673B91"/>
    <w:rsid w:val="00675F51"/>
    <w:rsid w:val="006E6094"/>
    <w:rsid w:val="006E7A19"/>
    <w:rsid w:val="007043F2"/>
    <w:rsid w:val="0070586B"/>
    <w:rsid w:val="00712091"/>
    <w:rsid w:val="007614AC"/>
    <w:rsid w:val="00776BED"/>
    <w:rsid w:val="007905B7"/>
    <w:rsid w:val="007E39F2"/>
    <w:rsid w:val="00835AB6"/>
    <w:rsid w:val="00881005"/>
    <w:rsid w:val="008E0E18"/>
    <w:rsid w:val="008F75B1"/>
    <w:rsid w:val="00915AB8"/>
    <w:rsid w:val="0093116E"/>
    <w:rsid w:val="00956564"/>
    <w:rsid w:val="009701DF"/>
    <w:rsid w:val="00974C22"/>
    <w:rsid w:val="009D204F"/>
    <w:rsid w:val="009F66A4"/>
    <w:rsid w:val="00A4561F"/>
    <w:rsid w:val="00A46185"/>
    <w:rsid w:val="00A53547"/>
    <w:rsid w:val="00A638BD"/>
    <w:rsid w:val="00A776AD"/>
    <w:rsid w:val="00AA7B73"/>
    <w:rsid w:val="00B45FB6"/>
    <w:rsid w:val="00B47A20"/>
    <w:rsid w:val="00BE43DF"/>
    <w:rsid w:val="00C356E2"/>
    <w:rsid w:val="00C61F57"/>
    <w:rsid w:val="00C83B09"/>
    <w:rsid w:val="00C92510"/>
    <w:rsid w:val="00C952C5"/>
    <w:rsid w:val="00CB0BAE"/>
    <w:rsid w:val="00CD6CD6"/>
    <w:rsid w:val="00D13318"/>
    <w:rsid w:val="00D43143"/>
    <w:rsid w:val="00DB122B"/>
    <w:rsid w:val="00DB422E"/>
    <w:rsid w:val="00DD7801"/>
    <w:rsid w:val="00DE4975"/>
    <w:rsid w:val="00DE601A"/>
    <w:rsid w:val="00DF77CB"/>
    <w:rsid w:val="00E07D50"/>
    <w:rsid w:val="00E15ED7"/>
    <w:rsid w:val="00E31BE3"/>
    <w:rsid w:val="00E402A8"/>
    <w:rsid w:val="00E42DD1"/>
    <w:rsid w:val="00E42F5A"/>
    <w:rsid w:val="00E43CCA"/>
    <w:rsid w:val="00E82FF8"/>
    <w:rsid w:val="00ED4566"/>
    <w:rsid w:val="00EE3AFE"/>
    <w:rsid w:val="00EF03D0"/>
    <w:rsid w:val="00EF1D19"/>
    <w:rsid w:val="00F312F2"/>
    <w:rsid w:val="00F3444C"/>
    <w:rsid w:val="00F44FE5"/>
    <w:rsid w:val="00F64C51"/>
    <w:rsid w:val="00F75432"/>
    <w:rsid w:val="00F977F8"/>
    <w:rsid w:val="00FA03F6"/>
    <w:rsid w:val="00FA1752"/>
    <w:rsid w:val="00FA634F"/>
    <w:rsid w:val="00FC7D3E"/>
    <w:rsid w:val="00F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paragraph" w:styleId="NoSpacing">
    <w:name w:val="No Spacing"/>
    <w:uiPriority w:val="1"/>
    <w:qFormat/>
    <w:rsid w:val="00A46185"/>
    <w:pPr>
      <w:spacing w:line="240" w:lineRule="auto"/>
    </w:pPr>
    <w:rPr>
      <w:rFonts w:asciiTheme="minorHAnsi" w:hAnsiTheme="minorHAnsi"/>
    </w:rPr>
  </w:style>
  <w:style w:type="paragraph" w:styleId="NormalWeb">
    <w:name w:val="Normal (Web)"/>
    <w:basedOn w:val="Normal"/>
    <w:uiPriority w:val="99"/>
    <w:semiHidden/>
    <w:unhideWhenUsed/>
    <w:rsid w:val="006E7A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nsation@cascadeemploye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6</cp:revision>
  <cp:lastPrinted>2022-03-11T21:00:00Z</cp:lastPrinted>
  <dcterms:created xsi:type="dcterms:W3CDTF">2025-02-14T17:38:00Z</dcterms:created>
  <dcterms:modified xsi:type="dcterms:W3CDTF">2025-02-14T18:28:00Z</dcterms:modified>
</cp:coreProperties>
</file>