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B5ADA" w14:textId="77777777" w:rsidR="000F023C" w:rsidRPr="004048E6" w:rsidRDefault="000F023C" w:rsidP="000F023C">
      <w:pPr>
        <w:jc w:val="center"/>
        <w:rPr>
          <w:b/>
          <w:bCs/>
        </w:rPr>
      </w:pPr>
      <w:r w:rsidRPr="004048E6">
        <w:rPr>
          <w:b/>
          <w:bCs/>
        </w:rPr>
        <w:t>Orthopedic Examination for the General Practitioner</w:t>
      </w:r>
    </w:p>
    <w:p w14:paraId="4C592AF8" w14:textId="77777777" w:rsidR="000F023C" w:rsidRDefault="000F023C" w:rsidP="000F023C">
      <w:pPr>
        <w:jc w:val="center"/>
      </w:pPr>
      <w:r>
        <w:t>Brian Martin DVM, MS, ACVS-SA</w:t>
      </w:r>
    </w:p>
    <w:p w14:paraId="13D25AC4" w14:textId="77777777" w:rsidR="000F023C" w:rsidRDefault="000F023C" w:rsidP="000F023C"/>
    <w:p w14:paraId="07F0CF8C" w14:textId="77777777" w:rsidR="000F023C" w:rsidRDefault="000F023C" w:rsidP="000F023C">
      <w:r>
        <w:t>Learning Objectives:</w:t>
      </w:r>
    </w:p>
    <w:p w14:paraId="3C56E622" w14:textId="17F386E6" w:rsidR="000F023C" w:rsidRDefault="000F023C" w:rsidP="000F023C">
      <w:pPr>
        <w:pStyle w:val="ListParagraph"/>
        <w:numPr>
          <w:ilvl w:val="0"/>
          <w:numId w:val="1"/>
        </w:numPr>
      </w:pPr>
      <w:r>
        <w:t xml:space="preserve">Rehearse the </w:t>
      </w:r>
      <w:r w:rsidR="002F06D6">
        <w:t xml:space="preserve">essential </w:t>
      </w:r>
      <w:r>
        <w:t xml:space="preserve">elements of orthopedic examination in small animals. </w:t>
      </w:r>
    </w:p>
    <w:p w14:paraId="6CC769A2" w14:textId="77777777" w:rsidR="000F023C" w:rsidRDefault="000F023C" w:rsidP="000F023C">
      <w:pPr>
        <w:pStyle w:val="ListParagraph"/>
        <w:numPr>
          <w:ilvl w:val="0"/>
          <w:numId w:val="1"/>
        </w:numPr>
      </w:pPr>
      <w:r>
        <w:t>Have a good understanding of the purpose of an orthopedic examination.</w:t>
      </w:r>
    </w:p>
    <w:p w14:paraId="392C7067" w14:textId="77777777" w:rsidR="000F023C" w:rsidRDefault="000F023C" w:rsidP="000F023C">
      <w:pPr>
        <w:pStyle w:val="ListParagraph"/>
        <w:numPr>
          <w:ilvl w:val="0"/>
          <w:numId w:val="1"/>
        </w:numPr>
      </w:pPr>
      <w:r>
        <w:t>Understand the primary differentials of forelimb lameness in immature and mature patients.</w:t>
      </w:r>
    </w:p>
    <w:p w14:paraId="78E0DF54" w14:textId="77777777" w:rsidR="000F023C" w:rsidRDefault="000F023C" w:rsidP="000F023C">
      <w:pPr>
        <w:pStyle w:val="ListParagraph"/>
        <w:numPr>
          <w:ilvl w:val="0"/>
          <w:numId w:val="1"/>
        </w:numPr>
      </w:pPr>
      <w:r>
        <w:t xml:space="preserve">Understand the primary differentials of pelvic limb lameness in immature and mature patients. </w:t>
      </w:r>
    </w:p>
    <w:p w14:paraId="65E49765" w14:textId="77777777" w:rsidR="000F023C" w:rsidRDefault="000F023C" w:rsidP="000F023C">
      <w:pPr>
        <w:pStyle w:val="ListParagraph"/>
        <w:numPr>
          <w:ilvl w:val="0"/>
          <w:numId w:val="1"/>
        </w:numPr>
      </w:pPr>
      <w:r>
        <w:t>Discuss the limitations of an orthopedic examination and the subsequent recommendations to gain a diagnosis.</w:t>
      </w:r>
    </w:p>
    <w:p w14:paraId="2D33717A" w14:textId="77777777" w:rsidR="000F023C" w:rsidRPr="00E9742C" w:rsidRDefault="000F023C" w:rsidP="000F023C">
      <w:pPr>
        <w:ind w:firstLine="360"/>
      </w:pPr>
      <w:r w:rsidRPr="00E9742C">
        <w:t xml:space="preserve">Orthopedic examinations are a foundational skill in veterinary practice, yet they are often underutilized or performed inconsistently. This session will revisit the essential principles of orthopedic evaluation, </w:t>
      </w:r>
      <w:proofErr w:type="gramStart"/>
      <w:r w:rsidRPr="00E9742C">
        <w:t>reinforc</w:t>
      </w:r>
      <w:r>
        <w:t>ing</w:t>
      </w:r>
      <w:proofErr w:type="gramEnd"/>
      <w:r>
        <w:t xml:space="preserve"> </w:t>
      </w:r>
      <w:r w:rsidRPr="00E9742C">
        <w:t xml:space="preserve">the techniques and thought processes many practitioners learned during their training. Participants will be guided through a systematic approach to the orthopedic exam, emphasizing the "why" behind each step—whether it’s to localize a source of pain, differentiate between orthopedic and neurologic causes of lameness, or decide when further diagnostics are warranted. By </w:t>
      </w:r>
      <w:r>
        <w:t>reviewing</w:t>
      </w:r>
      <w:r w:rsidRPr="00E9742C">
        <w:t xml:space="preserve"> core principles and encouraging deliberate, thoughtful assessments, attendees will gain greater confidence in their ability to evaluate musculoskeletal complaints in clinical settings.</w:t>
      </w:r>
    </w:p>
    <w:p w14:paraId="29952C50" w14:textId="77777777" w:rsidR="000F023C" w:rsidRPr="00E9742C" w:rsidRDefault="000F023C" w:rsidP="000F023C">
      <w:pPr>
        <w:ind w:firstLine="360"/>
      </w:pPr>
      <w:r w:rsidRPr="00E9742C">
        <w:t xml:space="preserve">A key component of the seminar will focus on differentiating causes of lameness in both immature and mature patients. Common differentials affecting the forelimb and pelvic limb will be reviewed in the context of age and development, highlighting how clinical presentation and diagnostic approach can vary. Additionally, the discussion will address the limitations of the orthopedic exam—what it </w:t>
      </w:r>
      <w:proofErr w:type="gramStart"/>
      <w:r w:rsidRPr="00E9742C">
        <w:t>can</w:t>
      </w:r>
      <w:proofErr w:type="gramEnd"/>
      <w:r w:rsidRPr="00E9742C">
        <w:t xml:space="preserve"> and cannot definitively diagnose—and how to recognize when additional imaging or referral is indicated. By the end of the session, general practitioners will be better equipped to perform thorough and meaningful orthopedic evaluations, improving diagnostic accuracy and patient outcomes.</w:t>
      </w:r>
    </w:p>
    <w:p w14:paraId="0D90DD87" w14:textId="77777777" w:rsidR="000F023C" w:rsidRDefault="000F023C" w:rsidP="000F023C"/>
    <w:p w14:paraId="6C91B757" w14:textId="77777777" w:rsidR="000F023C" w:rsidRDefault="000F023C" w:rsidP="000F023C"/>
    <w:p w14:paraId="1A011469" w14:textId="77777777" w:rsidR="000F023C" w:rsidRDefault="000F023C" w:rsidP="000F023C"/>
    <w:p w14:paraId="50F9DC23" w14:textId="77777777" w:rsidR="000F023C" w:rsidRDefault="000F023C" w:rsidP="000F023C"/>
    <w:p w14:paraId="018F4A41" w14:textId="77777777" w:rsidR="000F023C" w:rsidRPr="004760B6" w:rsidRDefault="000F023C" w:rsidP="000F023C">
      <w:pPr>
        <w:jc w:val="center"/>
        <w:rPr>
          <w:b/>
          <w:bCs/>
        </w:rPr>
      </w:pPr>
      <w:r w:rsidRPr="004760B6">
        <w:rPr>
          <w:b/>
          <w:bCs/>
        </w:rPr>
        <w:lastRenderedPageBreak/>
        <w:t>Cranial Cruciate Ligament Disease</w:t>
      </w:r>
    </w:p>
    <w:p w14:paraId="7120466C" w14:textId="77777777" w:rsidR="000F023C" w:rsidRDefault="000F023C" w:rsidP="000F023C">
      <w:pPr>
        <w:jc w:val="center"/>
      </w:pPr>
      <w:r>
        <w:t>Brian Martin DVM, MS, ACVS-SA</w:t>
      </w:r>
    </w:p>
    <w:p w14:paraId="7E3AA0E2" w14:textId="77777777" w:rsidR="000F023C" w:rsidRDefault="000F023C" w:rsidP="000F023C"/>
    <w:p w14:paraId="2A3AE907" w14:textId="77777777" w:rsidR="000F023C" w:rsidRDefault="000F023C" w:rsidP="000F023C">
      <w:r>
        <w:t>Learning objectives:</w:t>
      </w:r>
    </w:p>
    <w:p w14:paraId="310A6CD0" w14:textId="77777777" w:rsidR="000F023C" w:rsidRDefault="000F023C" w:rsidP="000F023C">
      <w:pPr>
        <w:pStyle w:val="ListParagraph"/>
        <w:numPr>
          <w:ilvl w:val="0"/>
          <w:numId w:val="2"/>
        </w:numPr>
      </w:pPr>
      <w:r>
        <w:t>Rehearse the most frequent surgical orthopedic issue in veterinary medicine.</w:t>
      </w:r>
    </w:p>
    <w:p w14:paraId="77FD3509" w14:textId="77777777" w:rsidR="000F023C" w:rsidRDefault="000F023C" w:rsidP="000F023C">
      <w:pPr>
        <w:pStyle w:val="ListParagraph"/>
        <w:numPr>
          <w:ilvl w:val="0"/>
          <w:numId w:val="2"/>
        </w:numPr>
      </w:pPr>
      <w:r>
        <w:t xml:space="preserve">Understand that common procedures should not be interpreted as routine or easy. </w:t>
      </w:r>
    </w:p>
    <w:p w14:paraId="47E8936E" w14:textId="77777777" w:rsidR="000F023C" w:rsidRDefault="000F023C" w:rsidP="000F023C">
      <w:pPr>
        <w:pStyle w:val="ListParagraph"/>
        <w:numPr>
          <w:ilvl w:val="0"/>
          <w:numId w:val="2"/>
        </w:numPr>
      </w:pPr>
      <w:r>
        <w:t>Recognize when to refer for cranial cruciate ligament disease.</w:t>
      </w:r>
    </w:p>
    <w:p w14:paraId="406CB1DC" w14:textId="77777777" w:rsidR="000F023C" w:rsidRDefault="000F023C" w:rsidP="000F023C">
      <w:pPr>
        <w:pStyle w:val="ListParagraph"/>
        <w:numPr>
          <w:ilvl w:val="0"/>
          <w:numId w:val="2"/>
        </w:numPr>
      </w:pPr>
      <w:r>
        <w:t>Discuss common questions generated by general practitioners and specialists about cranial cruciate ligament disease.</w:t>
      </w:r>
    </w:p>
    <w:p w14:paraId="4917556F" w14:textId="77777777" w:rsidR="000F023C" w:rsidRDefault="000F023C" w:rsidP="000F023C"/>
    <w:p w14:paraId="1C08160E" w14:textId="19E8B95D" w:rsidR="000F023C" w:rsidRPr="00E9742C" w:rsidRDefault="000F023C" w:rsidP="000F023C">
      <w:r>
        <w:t xml:space="preserve">Cranial Cruciate </w:t>
      </w:r>
      <w:r w:rsidRPr="00E9742C">
        <w:t xml:space="preserve">ligament (CCL) disease remains the most frequent surgical orthopedic condition encountered in small animal practice. This session will provide an opportunity to revisit and reinforce fundamental knowledge surrounding </w:t>
      </w:r>
      <w:r w:rsidR="00146268" w:rsidRPr="00E9742C">
        <w:t>pathophysiology</w:t>
      </w:r>
      <w:r w:rsidRPr="00E9742C">
        <w:t>, diagnosis, and management of CCL disease. While many general practitioners are familiar with the condition, th</w:t>
      </w:r>
      <w:r>
        <w:t>is</w:t>
      </w:r>
      <w:r w:rsidRPr="00E9742C">
        <w:t xml:space="preserve"> seminar emphasizes that familiarity should not lead to complacency. Even common procedures such as lateral suture stabilization or TPLO carry complexity and risk, and their success depends heavily on appropriate case selection, surgical technique, and post-operative management.</w:t>
      </w:r>
    </w:p>
    <w:p w14:paraId="7D42E7EE" w14:textId="77777777" w:rsidR="000F023C" w:rsidRPr="00E9742C" w:rsidRDefault="000F023C" w:rsidP="000F023C">
      <w:r w:rsidRPr="00E9742C">
        <w:t>Beyond technique, a critical focus of the discussion will center around clinical decision-making—specifically, when to treat in-house and when to refer. By exploring real-world scenarios and addressing frequently asked questions from both generalists and specialists, attendees will gain practical insights into the nuances of CCL disease management. The session aims to foster a deeper understanding of the condition and encourage thoughtful dialogue about the challenges and responsibilities involved in treating it. General practitioners will leave better equipped to navigate CCL cases with greater confidence and clarity, recognizing both their capabilities and their limits.</w:t>
      </w:r>
    </w:p>
    <w:p w14:paraId="0AC8954B" w14:textId="77777777" w:rsidR="000F023C" w:rsidRDefault="000F023C" w:rsidP="000F023C"/>
    <w:p w14:paraId="38694A7B" w14:textId="77777777" w:rsidR="00685DF2" w:rsidRDefault="00685DF2"/>
    <w:sectPr w:rsidR="00685D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9742D"/>
    <w:multiLevelType w:val="hybridMultilevel"/>
    <w:tmpl w:val="20162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FF7AD4"/>
    <w:multiLevelType w:val="hybridMultilevel"/>
    <w:tmpl w:val="14B48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213541">
    <w:abstractNumId w:val="0"/>
  </w:num>
  <w:num w:numId="2" w16cid:durableId="1016732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23C"/>
    <w:rsid w:val="00034C2D"/>
    <w:rsid w:val="000F023C"/>
    <w:rsid w:val="00146268"/>
    <w:rsid w:val="002F06D6"/>
    <w:rsid w:val="0045687C"/>
    <w:rsid w:val="005F6159"/>
    <w:rsid w:val="00685DF2"/>
    <w:rsid w:val="007C5190"/>
    <w:rsid w:val="00C8370B"/>
    <w:rsid w:val="00D461D2"/>
    <w:rsid w:val="00EA4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44103"/>
  <w15:chartTrackingRefBased/>
  <w15:docId w15:val="{1D411163-0BE6-4D56-A823-BAB5FD5F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23C"/>
  </w:style>
  <w:style w:type="paragraph" w:styleId="Heading1">
    <w:name w:val="heading 1"/>
    <w:basedOn w:val="Normal"/>
    <w:next w:val="Normal"/>
    <w:link w:val="Heading1Char"/>
    <w:uiPriority w:val="9"/>
    <w:qFormat/>
    <w:rsid w:val="000F0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0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0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0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0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23C"/>
    <w:rPr>
      <w:rFonts w:eastAsiaTheme="majorEastAsia" w:cstheme="majorBidi"/>
      <w:color w:val="272727" w:themeColor="text1" w:themeTint="D8"/>
    </w:rPr>
  </w:style>
  <w:style w:type="paragraph" w:styleId="Title">
    <w:name w:val="Title"/>
    <w:basedOn w:val="Normal"/>
    <w:next w:val="Normal"/>
    <w:link w:val="TitleChar"/>
    <w:uiPriority w:val="10"/>
    <w:qFormat/>
    <w:rsid w:val="000F0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23C"/>
    <w:pPr>
      <w:spacing w:before="160"/>
      <w:jc w:val="center"/>
    </w:pPr>
    <w:rPr>
      <w:i/>
      <w:iCs/>
      <w:color w:val="404040" w:themeColor="text1" w:themeTint="BF"/>
    </w:rPr>
  </w:style>
  <w:style w:type="character" w:customStyle="1" w:styleId="QuoteChar">
    <w:name w:val="Quote Char"/>
    <w:basedOn w:val="DefaultParagraphFont"/>
    <w:link w:val="Quote"/>
    <w:uiPriority w:val="29"/>
    <w:rsid w:val="000F023C"/>
    <w:rPr>
      <w:i/>
      <w:iCs/>
      <w:color w:val="404040" w:themeColor="text1" w:themeTint="BF"/>
    </w:rPr>
  </w:style>
  <w:style w:type="paragraph" w:styleId="ListParagraph">
    <w:name w:val="List Paragraph"/>
    <w:basedOn w:val="Normal"/>
    <w:uiPriority w:val="34"/>
    <w:qFormat/>
    <w:rsid w:val="000F023C"/>
    <w:pPr>
      <w:ind w:left="720"/>
      <w:contextualSpacing/>
    </w:pPr>
  </w:style>
  <w:style w:type="character" w:styleId="IntenseEmphasis">
    <w:name w:val="Intense Emphasis"/>
    <w:basedOn w:val="DefaultParagraphFont"/>
    <w:uiPriority w:val="21"/>
    <w:qFormat/>
    <w:rsid w:val="000F023C"/>
    <w:rPr>
      <w:i/>
      <w:iCs/>
      <w:color w:val="0F4761" w:themeColor="accent1" w:themeShade="BF"/>
    </w:rPr>
  </w:style>
  <w:style w:type="paragraph" w:styleId="IntenseQuote">
    <w:name w:val="Intense Quote"/>
    <w:basedOn w:val="Normal"/>
    <w:next w:val="Normal"/>
    <w:link w:val="IntenseQuoteChar"/>
    <w:uiPriority w:val="30"/>
    <w:qFormat/>
    <w:rsid w:val="000F0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23C"/>
    <w:rPr>
      <w:i/>
      <w:iCs/>
      <w:color w:val="0F4761" w:themeColor="accent1" w:themeShade="BF"/>
    </w:rPr>
  </w:style>
  <w:style w:type="character" w:styleId="IntenseReference">
    <w:name w:val="Intense Reference"/>
    <w:basedOn w:val="DefaultParagraphFont"/>
    <w:uiPriority w:val="32"/>
    <w:qFormat/>
    <w:rsid w:val="000F02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18334EC9E7534B9D04158EE127A1D4" ma:contentTypeVersion="14" ma:contentTypeDescription="Create a new document." ma:contentTypeScope="" ma:versionID="dc769cabfbcb837a01ccf181828bb422">
  <xsd:schema xmlns:xsd="http://www.w3.org/2001/XMLSchema" xmlns:xs="http://www.w3.org/2001/XMLSchema" xmlns:p="http://schemas.microsoft.com/office/2006/metadata/properties" xmlns:ns2="665d0bd9-5451-4ace-ab4e-39b5d6780681" xmlns:ns3="5a2711ff-4bc5-41b4-b3b9-585ac0cf55a3" targetNamespace="http://schemas.microsoft.com/office/2006/metadata/properties" ma:root="true" ma:fieldsID="435e0581679019d43f5e4ed399518df7" ns2:_="" ns3:_="">
    <xsd:import namespace="665d0bd9-5451-4ace-ab4e-39b5d6780681"/>
    <xsd:import namespace="5a2711ff-4bc5-41b4-b3b9-585ac0cf55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d0bd9-5451-4ace-ab4e-39b5d6780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d23af2-e39c-43b6-b404-82eb453e0b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711ff-4bc5-41b4-b3b9-585ac0cf55a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1cf5f0-9258-458b-9b57-37143ce81286}" ma:internalName="TaxCatchAll" ma:showField="CatchAllData" ma:web="5a2711ff-4bc5-41b4-b3b9-585ac0cf55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5d0bd9-5451-4ace-ab4e-39b5d6780681">
      <Terms xmlns="http://schemas.microsoft.com/office/infopath/2007/PartnerControls"/>
    </lcf76f155ced4ddcb4097134ff3c332f>
    <TaxCatchAll xmlns="5a2711ff-4bc5-41b4-b3b9-585ac0cf55a3" xsi:nil="true"/>
  </documentManagement>
</p:properties>
</file>

<file path=customXml/itemProps1.xml><?xml version="1.0" encoding="utf-8"?>
<ds:datastoreItem xmlns:ds="http://schemas.openxmlformats.org/officeDocument/2006/customXml" ds:itemID="{38D70B88-99CA-403F-87F4-CD0030AE7CB6}"/>
</file>

<file path=customXml/itemProps2.xml><?xml version="1.0" encoding="utf-8"?>
<ds:datastoreItem xmlns:ds="http://schemas.openxmlformats.org/officeDocument/2006/customXml" ds:itemID="{EC632085-24B2-4102-9613-0036EBA8E033}"/>
</file>

<file path=customXml/itemProps3.xml><?xml version="1.0" encoding="utf-8"?>
<ds:datastoreItem xmlns:ds="http://schemas.openxmlformats.org/officeDocument/2006/customXml" ds:itemID="{B36F9AC2-7637-4E70-BE3D-7F88FE42D3EE}"/>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3072</Characters>
  <Application>Microsoft Office Word</Application>
  <DocSecurity>0</DocSecurity>
  <Lines>57</Lines>
  <Paragraphs>1</Paragraphs>
  <ScaleCrop>false</ScaleCrop>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Todd Gray</cp:lastModifiedBy>
  <cp:revision>2</cp:revision>
  <dcterms:created xsi:type="dcterms:W3CDTF">2025-09-21T00:10:00Z</dcterms:created>
  <dcterms:modified xsi:type="dcterms:W3CDTF">2025-09-21T00:10:00Z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0x0101005218334EC9E7534B9D04158EE127A1D4</vt:lpwstr>
  </property>
</Properties>
</file>