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68DD" w14:textId="77777777" w:rsidR="00CC0D00" w:rsidRDefault="00000000">
      <w:pPr>
        <w:pStyle w:val="Title"/>
      </w:pPr>
      <w:r>
        <w:t>Anaphylaxis: Physiology and Treatment</w:t>
      </w:r>
    </w:p>
    <w:p w14:paraId="38FCC72B" w14:textId="77777777" w:rsidR="00CC0D00" w:rsidRDefault="00000000">
      <w:r>
        <w:t>Tami Lind, BS, RVT, VTS(ECC)</w:t>
      </w:r>
      <w:r>
        <w:br/>
        <w:t>Purdue University Veterinary Hospital, West Lafayette, Indiana</w:t>
      </w:r>
    </w:p>
    <w:p w14:paraId="54719124" w14:textId="77777777" w:rsidR="00CC0D00" w:rsidRDefault="00000000">
      <w:pPr>
        <w:pStyle w:val="Heading1"/>
      </w:pPr>
      <w:r>
        <w:t>Introduction</w:t>
      </w:r>
    </w:p>
    <w:p w14:paraId="23D9E7B9" w14:textId="77777777" w:rsidR="00CC0D00" w:rsidRDefault="00000000">
      <w:r>
        <w:t>Anaphylaxis is an acute, systemic hypersensitivity reaction that may progress rapidly to life-threatening complications. It is most commonly mediated by mast cell degranulation triggered by immunoglobulin E (IgE). Prompt recognition and treatment are critical, as the speed of onset often correlates with severity.</w:t>
      </w:r>
    </w:p>
    <w:p w14:paraId="799B6F48" w14:textId="77777777" w:rsidR="00CC0D00" w:rsidRDefault="00000000">
      <w:pPr>
        <w:pStyle w:val="Heading1"/>
      </w:pPr>
      <w:r>
        <w:t>Pathophysiology</w:t>
      </w:r>
    </w:p>
    <w:p w14:paraId="5B091D82" w14:textId="77777777" w:rsidR="00CC0D00" w:rsidRDefault="00000000">
      <w:r>
        <w:t>Hypersensitivity reactions vary in severity. Local reactions may manifest as erythema, pruritus, or angioedema, while systemic reactions can progress to shock. Antigens stimulate an immune response that leads to IgE production. IgE antibodies bind to mast cells and basophils via high-affinity Fc-epsilon-RI receptors. Upon re-exposure to the antigen, cross-linking of IgE results in degranulation, releasing histamine, tryptase, heparin, and cytokines into circulation.</w:t>
      </w:r>
    </w:p>
    <w:p w14:paraId="07BDE3EA" w14:textId="77777777" w:rsidR="00CC0D00" w:rsidRDefault="00000000">
      <w:pPr>
        <w:pStyle w:val="Heading1"/>
      </w:pPr>
      <w:r>
        <w:t>Role of Histamine</w:t>
      </w:r>
    </w:p>
    <w:p w14:paraId="1ADD39C3" w14:textId="77777777" w:rsidR="00CC0D00" w:rsidRDefault="00000000">
      <w:r>
        <w:t>Histamine is a biogenic amine stored in mast cells and basophils. It is a major mediator of anaphylactic reactions. The clinical signs vary according to receptor subtype activation:</w:t>
      </w:r>
    </w:p>
    <w:p w14:paraId="33FDB8B2" w14:textId="77777777" w:rsidR="00CC0D00" w:rsidRDefault="00000000">
      <w:pPr>
        <w:pStyle w:val="ListBullet"/>
      </w:pPr>
      <w:r>
        <w:t>H1 receptors: Mediate pruritus, urticaria, angioedema, conjunctivitis, tachycardia, rhinitis, vasodilation, and increased vascular permeability.</w:t>
      </w:r>
    </w:p>
    <w:p w14:paraId="27A349C0" w14:textId="77777777" w:rsidR="00CC0D00" w:rsidRDefault="00000000">
      <w:pPr>
        <w:pStyle w:val="ListBullet"/>
      </w:pPr>
      <w:r>
        <w:t>H2 receptors: Involved in gastric acid secretion and cardiac contractility.</w:t>
      </w:r>
    </w:p>
    <w:p w14:paraId="3E51105C" w14:textId="77777777" w:rsidR="00CC0D00" w:rsidRDefault="00000000">
      <w:pPr>
        <w:pStyle w:val="ListBullet"/>
      </w:pPr>
      <w:r>
        <w:t>Other effects: Induce smooth muscle contraction in the liver and intestines, causing blood pooling, portal hypertension, intestinal injury, and hematochezia.</w:t>
      </w:r>
    </w:p>
    <w:p w14:paraId="46ED6972" w14:textId="77777777" w:rsidR="00CC0D00" w:rsidRDefault="00000000">
      <w:pPr>
        <w:pStyle w:val="Heading1"/>
      </w:pPr>
      <w:r>
        <w:t>Etiology</w:t>
      </w:r>
    </w:p>
    <w:p w14:paraId="1CF313F5" w14:textId="77777777" w:rsidR="00CC0D00" w:rsidRDefault="00000000">
      <w:r>
        <w:t>Common triggers of anaphylaxis in veterinary patients include vaccine proteins, insect or reptile venoms, blood products, nonsteroidal anti-inflammatory drugs (NSAIDs), opioids, foods, and plants. Onset can occur within minutes of exposure, and the faster the onset, the more severe the reaction is likely to be. No specific diagnostic test exists for anaphylaxis; diagnosis is based on clinical presentation.</w:t>
      </w:r>
    </w:p>
    <w:p w14:paraId="345153CE" w14:textId="77777777" w:rsidR="00CC0D00" w:rsidRDefault="00000000">
      <w:pPr>
        <w:pStyle w:val="Heading1"/>
      </w:pPr>
      <w:r>
        <w:lastRenderedPageBreak/>
        <w:t>Clinical Signs</w:t>
      </w:r>
    </w:p>
    <w:p w14:paraId="2F08C959" w14:textId="77777777" w:rsidR="00CC0D00" w:rsidRDefault="00000000">
      <w:r>
        <w:t>Clinical manifestations vary depending on species and the distribution of mast cells within organ systems:</w:t>
      </w:r>
    </w:p>
    <w:p w14:paraId="7F21280E" w14:textId="77777777" w:rsidR="00CC0D00" w:rsidRDefault="00000000">
      <w:pPr>
        <w:pStyle w:val="ListBullet"/>
      </w:pPr>
      <w:r>
        <w:t>Dogs: Cutaneous inflammation and gastrointestinal signs are most common. The gastrointestinal tract is considered the canine shock organ.</w:t>
      </w:r>
    </w:p>
    <w:p w14:paraId="360AA14A" w14:textId="77777777" w:rsidR="00CC0D00" w:rsidRDefault="00000000">
      <w:pPr>
        <w:pStyle w:val="ListBullet"/>
      </w:pPr>
      <w:r>
        <w:t>Cats: The respiratory tract is the primary shock organ. Cats may present with respiratory distress, open-mouth breathing, vomiting, fever, facial edema, or vaccine site reactions. Laryngeal edema and bronchoconstriction are also common. Many feline cases are associated with opioid administration.</w:t>
      </w:r>
    </w:p>
    <w:p w14:paraId="50DA65A1" w14:textId="77777777" w:rsidR="00CC0D00" w:rsidRDefault="00000000">
      <w:pPr>
        <w:pStyle w:val="Heading1"/>
      </w:pPr>
      <w:r>
        <w:t>Treatment</w:t>
      </w:r>
    </w:p>
    <w:p w14:paraId="6579B1D8" w14:textId="77777777" w:rsidR="00CC0D00" w:rsidRDefault="00000000">
      <w:r>
        <w:t>Treatment depends on severity but should begin with immediate assessment of airway, breathing, and circulation. Blood pressure should be monitored closely, and supportive measures instituted without delay.</w:t>
      </w:r>
    </w:p>
    <w:p w14:paraId="08A89BF1" w14:textId="77777777" w:rsidR="00CC0D00" w:rsidRDefault="00000000">
      <w:pPr>
        <w:pStyle w:val="ListBullet"/>
      </w:pPr>
      <w:r>
        <w:t>Antihistamines: Diphenhydramine (dogs: 1–4 mg/kg PO or IM; cats: 0.5–2 mg/kg PO or IM) targets H1 receptors. These primarily alleviate pruritus but have limited cardiovascular benefit.</w:t>
      </w:r>
    </w:p>
    <w:p w14:paraId="47731251" w14:textId="77777777" w:rsidR="00CC0D00" w:rsidRDefault="00000000">
      <w:pPr>
        <w:pStyle w:val="ListBullet"/>
      </w:pPr>
      <w:r>
        <w:t>Glucocorticoids: Used in mild reactions but less effective in acute emergencies due to delayed onset. Prednisone (1 mg/kg PO) or dexamethasone sodium phosphate (0.1 mg/kg IV) are common options. Risks include gastric irritation and bleeding.</w:t>
      </w:r>
    </w:p>
    <w:p w14:paraId="249275E2" w14:textId="77777777" w:rsidR="00CC0D00" w:rsidRDefault="00000000">
      <w:pPr>
        <w:pStyle w:val="ListBullet"/>
      </w:pPr>
      <w:r>
        <w:t>Epinephrine: Indicated in severe reactions. Administer IM (1:1000 concentration, 0.01 mg/kg). Subcutaneous administration is not recommended. Epinephrine provides vasoconstriction (α1), bronchodilation (β2), reduced histamine release, and increased cardiac contractility (β1).</w:t>
      </w:r>
    </w:p>
    <w:p w14:paraId="21C12B61" w14:textId="77777777" w:rsidR="00CC0D00" w:rsidRDefault="00000000">
      <w:pPr>
        <w:pStyle w:val="ListBullet"/>
      </w:pPr>
      <w:r>
        <w:t>Albuterol: Useful for severe respiratory distress and bronchoconstriction.</w:t>
      </w:r>
    </w:p>
    <w:p w14:paraId="0AA9FEA2" w14:textId="77777777" w:rsidR="00CC0D00" w:rsidRDefault="00000000">
      <w:pPr>
        <w:pStyle w:val="ListBullet"/>
      </w:pPr>
      <w:r>
        <w:t>Intravenous fluids: Administer crystalloids at shock doses (90 mL/kg, divided into quarters) to maintain blood pressure and perfusion.</w:t>
      </w:r>
    </w:p>
    <w:p w14:paraId="369A50E3" w14:textId="77777777" w:rsidR="00CC0D00" w:rsidRDefault="00000000">
      <w:pPr>
        <w:pStyle w:val="ListBullet"/>
      </w:pPr>
      <w:r>
        <w:t>Oxygen therapy: Essential for patients with respiratory compromise or systemic instability.</w:t>
      </w:r>
    </w:p>
    <w:p w14:paraId="591DEB9B" w14:textId="77777777" w:rsidR="00CC0D00" w:rsidRDefault="00000000">
      <w:pPr>
        <w:pStyle w:val="Heading1"/>
      </w:pPr>
      <w:r>
        <w:t>Complications</w:t>
      </w:r>
    </w:p>
    <w:p w14:paraId="6BE47CA9" w14:textId="77777777" w:rsidR="00CC0D00" w:rsidRDefault="00000000">
      <w:r>
        <w:t>Severe anaphylaxis may progress to systemic inflammatory response syndrome (SIRS) and disseminated intravascular coagulation (DIC). SIRS results from widespread inflammation, leading to hypotension and poor organ perfusion. DIC occurs as cytokines trigger tissue factor expression, activating coagulation and forming microthrombi while simultaneously reducing antithrombin activity. These processes can critically impair perfusion and worsen prognosis.</w:t>
      </w:r>
    </w:p>
    <w:p w14:paraId="378F5A0E" w14:textId="77777777" w:rsidR="00CC0D00" w:rsidRDefault="00000000">
      <w:pPr>
        <w:pStyle w:val="Heading1"/>
      </w:pPr>
      <w:r>
        <w:lastRenderedPageBreak/>
        <w:t>Prognosis</w:t>
      </w:r>
    </w:p>
    <w:p w14:paraId="117E8BE7" w14:textId="77777777" w:rsidR="00CC0D00" w:rsidRDefault="00000000">
      <w:r>
        <w:t>Prognosis depends on the severity and duration of clinical signs as well as response to therapy. Rapid intervention and vigilant monitoring significantly improve outcomes.</w:t>
      </w:r>
    </w:p>
    <w:p w14:paraId="3EC9D4F7" w14:textId="77777777" w:rsidR="00CC0D00" w:rsidRDefault="00000000">
      <w:pPr>
        <w:pStyle w:val="Heading1"/>
      </w:pPr>
      <w:r>
        <w:t>Nursing Care</w:t>
      </w:r>
    </w:p>
    <w:p w14:paraId="5FFBDC79" w14:textId="77777777" w:rsidR="00CC0D00" w:rsidRDefault="00000000">
      <w:r>
        <w:t>Veterinary technicians play a vital role in the care of patients experiencing anaphylaxis. Close monitoring of vital signs, including frequent physical examinations and blood pressure assessment, is essential. Nutritional support should not be overlooked, as decreased gut perfusion predisposes patients to bacterial translocation. A strong knowledge of physiology, pharmacology, and advanced nursing care enables technicians to respond promptly to rapid changes in patient status.</w:t>
      </w:r>
    </w:p>
    <w:p w14:paraId="5C45F881" w14:textId="77777777" w:rsidR="00CC0D00" w:rsidRDefault="00000000">
      <w:pPr>
        <w:pStyle w:val="Heading1"/>
      </w:pPr>
      <w:r>
        <w:t>References</w:t>
      </w:r>
    </w:p>
    <w:p w14:paraId="035B51F2" w14:textId="77777777" w:rsidR="00CC0D00" w:rsidRDefault="00000000">
      <w:pPr>
        <w:pStyle w:val="ListBullet"/>
      </w:pPr>
      <w:r>
        <w:t>Gladden, J. Pathophysiology of Anaphylaxis. VECCS/AVECC Multidisciplinary Review Session; 2016: Grapevine.</w:t>
      </w:r>
    </w:p>
    <w:p w14:paraId="616365A9" w14:textId="77777777" w:rsidR="00CC0D00" w:rsidRDefault="00000000">
      <w:pPr>
        <w:pStyle w:val="ListBullet"/>
      </w:pPr>
      <w:r>
        <w:t>Kent, M. Hypersensitivity. VECCS Multidisciplinary Review Session; 2010: San Antonio.</w:t>
      </w:r>
    </w:p>
    <w:p w14:paraId="3D3FFFCD" w14:textId="77777777" w:rsidR="00CC0D00" w:rsidRDefault="00000000">
      <w:pPr>
        <w:pStyle w:val="ListBullet"/>
      </w:pPr>
      <w:r>
        <w:t>Peters, L.J., Kovacic, J.P. Histamine: metabolism, physiology, and pathophysiology with applications in veterinary medicine. J Vet Emerg Crit Care 2004; 19(4):311-328.</w:t>
      </w:r>
    </w:p>
    <w:p w14:paraId="5B453B88" w14:textId="77777777" w:rsidR="00CC0D00" w:rsidRDefault="00000000">
      <w:pPr>
        <w:pStyle w:val="ListBullet"/>
      </w:pPr>
      <w:r>
        <w:t>Quants, J.E., Miles, M.S., et al. Elevation of alanine transaminase and gallbladder wall abnormalities as biomarkers of anaphylaxis in canine hypersensitivity patients. J Vet Emerg Crit Care 2009;10(6):535-544.</w:t>
      </w:r>
    </w:p>
    <w:p w14:paraId="0A09A501" w14:textId="77777777" w:rsidR="00CC0D00" w:rsidRDefault="00000000">
      <w:pPr>
        <w:pStyle w:val="ListBullet"/>
      </w:pPr>
      <w:r>
        <w:t>Shmuel, D.L., Cortes, Y. Anaphylaxis in dogs and cats. J Vet Emerg Crit Care 2013; 23(4):377-394.</w:t>
      </w:r>
    </w:p>
    <w:p w14:paraId="2F0BCD9D" w14:textId="77777777" w:rsidR="00CC0D00" w:rsidRDefault="00000000">
      <w:pPr>
        <w:pStyle w:val="ListBullet"/>
      </w:pPr>
      <w:r>
        <w:t>Silverstein, D.C., Hopper, K. Small Animal Critical Care Medicine. St. Louis, MO: Saunders/Elsevier, 2009.</w:t>
      </w:r>
    </w:p>
    <w:p w14:paraId="72DBC6FD" w14:textId="77777777" w:rsidR="00CC0D00" w:rsidRDefault="00000000">
      <w:pPr>
        <w:pStyle w:val="ListBullet"/>
      </w:pPr>
      <w:r>
        <w:t>Waxman, C. Understanding Anaphylaxis. NAVTA Journal 2017; June/July:26-31.</w:t>
      </w:r>
    </w:p>
    <w:p w14:paraId="746DD8A2" w14:textId="77777777" w:rsidR="00CC0D00" w:rsidRDefault="00000000">
      <w:pPr>
        <w:pStyle w:val="ListBullet"/>
      </w:pPr>
      <w:r>
        <w:t>Yagi, K. Guardian or Executioner? Immunology in Critical Care. VECCS/AVECCT Technician Multidisciplinary Review Session; 2016: Grapevine.</w:t>
      </w:r>
    </w:p>
    <w:sectPr w:rsidR="00CC0D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02728777">
    <w:abstractNumId w:val="8"/>
  </w:num>
  <w:num w:numId="2" w16cid:durableId="1654677721">
    <w:abstractNumId w:val="6"/>
  </w:num>
  <w:num w:numId="3" w16cid:durableId="1432505339">
    <w:abstractNumId w:val="5"/>
  </w:num>
  <w:num w:numId="4" w16cid:durableId="1607809446">
    <w:abstractNumId w:val="4"/>
  </w:num>
  <w:num w:numId="5" w16cid:durableId="337777231">
    <w:abstractNumId w:val="7"/>
  </w:num>
  <w:num w:numId="6" w16cid:durableId="1666859154">
    <w:abstractNumId w:val="3"/>
  </w:num>
  <w:num w:numId="7" w16cid:durableId="630021512">
    <w:abstractNumId w:val="2"/>
  </w:num>
  <w:num w:numId="8" w16cid:durableId="1981107638">
    <w:abstractNumId w:val="1"/>
  </w:num>
  <w:num w:numId="9" w16cid:durableId="137234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2CFA"/>
    <w:rsid w:val="00326F90"/>
    <w:rsid w:val="003B353E"/>
    <w:rsid w:val="008D0712"/>
    <w:rsid w:val="00AA1D8D"/>
    <w:rsid w:val="00B47730"/>
    <w:rsid w:val="00CB0664"/>
    <w:rsid w:val="00CC0D00"/>
    <w:rsid w:val="00E159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5A5741"/>
  <w14:defaultImageDpi w14:val="300"/>
  <w15:docId w15:val="{FA56ED7D-A23A-B242-BC91-2859F8DD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E43FC58-39DC-49E2-B48E-43372C8CC811}"/>
</file>

<file path=customXml/itemProps3.xml><?xml version="1.0" encoding="utf-8"?>
<ds:datastoreItem xmlns:ds="http://schemas.openxmlformats.org/officeDocument/2006/customXml" ds:itemID="{EF882815-B8B0-41C5-AA09-316E69024765}"/>
</file>

<file path=customXml/itemProps4.xml><?xml version="1.0" encoding="utf-8"?>
<ds:datastoreItem xmlns:ds="http://schemas.openxmlformats.org/officeDocument/2006/customXml" ds:itemID="{00C2D435-4C63-48C8-A91B-4A27F4E6CAE2}"/>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4876</Characters>
  <Application>Microsoft Office Word</Application>
  <DocSecurity>0</DocSecurity>
  <Lines>79</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Todd Gray</cp:lastModifiedBy>
  <cp:revision>2</cp:revision>
  <dcterms:created xsi:type="dcterms:W3CDTF">2025-10-19T17:07:00Z</dcterms:created>
  <dcterms:modified xsi:type="dcterms:W3CDTF">2025-10-19T17:07:00Z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0x0101005218334EC9E7534B9D04158EE127A1D4</vt:lpwstr>
  </property>
</Properties>
</file>