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F9490" w14:textId="64F815DF" w:rsidR="00CE2C00" w:rsidRPr="004C3F38" w:rsidRDefault="00BA0733" w:rsidP="009A2625">
      <w:pPr>
        <w:jc w:val="center"/>
        <w:rPr>
          <w:b/>
          <w:bCs/>
        </w:rPr>
      </w:pPr>
      <w:r w:rsidRPr="004C3F38">
        <w:rPr>
          <w:b/>
          <w:bCs/>
        </w:rPr>
        <w:t>Methods to Maintain Soundness in the Horse</w:t>
      </w:r>
    </w:p>
    <w:p w14:paraId="77EF6DB8" w14:textId="0F159003" w:rsidR="00BA0733" w:rsidRPr="004C3F38" w:rsidRDefault="00BA0733" w:rsidP="009A2625">
      <w:pPr>
        <w:jc w:val="center"/>
        <w:rPr>
          <w:b/>
          <w:bCs/>
        </w:rPr>
      </w:pPr>
      <w:r w:rsidRPr="004C3F38">
        <w:rPr>
          <w:b/>
          <w:bCs/>
        </w:rPr>
        <w:t>Douglas L. Langer, DVM, MS</w:t>
      </w:r>
    </w:p>
    <w:p w14:paraId="0DFC7666" w14:textId="77777777" w:rsidR="006205B1" w:rsidRDefault="006205B1"/>
    <w:p w14:paraId="04803FC8" w14:textId="3E14E7F9" w:rsidR="006205B1" w:rsidRPr="004C3F38" w:rsidRDefault="006205B1" w:rsidP="006205B1">
      <w:pPr>
        <w:pStyle w:val="ListParagraph"/>
        <w:numPr>
          <w:ilvl w:val="0"/>
          <w:numId w:val="1"/>
        </w:numPr>
        <w:rPr>
          <w:b/>
          <w:bCs/>
        </w:rPr>
      </w:pPr>
      <w:r w:rsidRPr="004C3F38">
        <w:rPr>
          <w:b/>
          <w:bCs/>
        </w:rPr>
        <w:t>Introduction</w:t>
      </w:r>
    </w:p>
    <w:p w14:paraId="34851AE0" w14:textId="26152B50" w:rsidR="0022764A" w:rsidRDefault="006205B1" w:rsidP="006205B1">
      <w:pPr>
        <w:ind w:left="360"/>
      </w:pPr>
      <w:r>
        <w:t>The United States Department of Agriculture estimated the cost for equine lameness to be $678 million in 2001</w:t>
      </w:r>
      <w:r w:rsidR="008D21F0">
        <w:t xml:space="preserve">. </w:t>
      </w:r>
      <w:r>
        <w:t xml:space="preserve">This account included veterinary services, </w:t>
      </w:r>
      <w:r w:rsidR="008D21F0">
        <w:t>care,</w:t>
      </w:r>
      <w:r>
        <w:t xml:space="preserve"> and </w:t>
      </w:r>
      <w:r w:rsidR="0022764A">
        <w:t>lost use of affected horses</w:t>
      </w:r>
      <w:r w:rsidR="008D21F0">
        <w:t xml:space="preserve">. Over the last 25 years </w:t>
      </w:r>
      <w:r w:rsidR="0022764A">
        <w:t xml:space="preserve"> the cost of maintaining and caring for horses has only increased dramatically with advances in diagnostic imaging, methods of treatment and medications used</w:t>
      </w:r>
      <w:r w:rsidR="008D21F0">
        <w:t xml:space="preserve">. </w:t>
      </w:r>
      <w:r w:rsidR="0022764A">
        <w:t xml:space="preserve">This talk will focus on factors that come into play that influence individual horse soundness from general health, nutrition, farrier care, veterinary care, training schedule, footing, rider constraints, horse constraints, </w:t>
      </w:r>
      <w:r w:rsidR="008D21F0">
        <w:t>supplements,</w:t>
      </w:r>
      <w:r w:rsidR="0022764A">
        <w:t xml:space="preserve"> and systemic medications.</w:t>
      </w:r>
    </w:p>
    <w:p w14:paraId="38C5D1CA" w14:textId="77777777" w:rsidR="0022764A" w:rsidRPr="004C3F38" w:rsidRDefault="0022764A" w:rsidP="0022764A">
      <w:pPr>
        <w:pStyle w:val="ListParagraph"/>
        <w:numPr>
          <w:ilvl w:val="0"/>
          <w:numId w:val="1"/>
        </w:numPr>
        <w:rPr>
          <w:b/>
          <w:bCs/>
        </w:rPr>
      </w:pPr>
      <w:r w:rsidRPr="004C3F38">
        <w:rPr>
          <w:b/>
          <w:bCs/>
        </w:rPr>
        <w:t>General Health</w:t>
      </w:r>
    </w:p>
    <w:p w14:paraId="7C7E5195" w14:textId="547DAB59" w:rsidR="00430306" w:rsidRDefault="0022764A" w:rsidP="00AF680C">
      <w:pPr>
        <w:ind w:left="360"/>
      </w:pPr>
      <w:r>
        <w:t xml:space="preserve">We often take for granted the overall health, </w:t>
      </w:r>
      <w:r w:rsidR="008D21F0">
        <w:t>temperament,</w:t>
      </w:r>
      <w:r>
        <w:t xml:space="preserve"> and conformational </w:t>
      </w:r>
      <w:r w:rsidR="00B6188D">
        <w:t>well-being</w:t>
      </w:r>
      <w:r>
        <w:t xml:space="preserve"> of the individual horse</w:t>
      </w:r>
      <w:r w:rsidR="008D21F0">
        <w:t xml:space="preserve">. </w:t>
      </w:r>
      <w:r>
        <w:t>Conformation flaws alter stresses put on the body that can affect long term athletic soundness</w:t>
      </w:r>
      <w:r w:rsidR="008D21F0">
        <w:t xml:space="preserve">. </w:t>
      </w:r>
      <w:r>
        <w:t>Added strain to individual joints, ligaments and tends over time can lead to injury and lameness</w:t>
      </w:r>
      <w:r w:rsidR="008D21F0">
        <w:t xml:space="preserve">. </w:t>
      </w:r>
      <w:r>
        <w:t xml:space="preserve">Recognition of these concerns </w:t>
      </w:r>
      <w:r w:rsidR="00B6188D">
        <w:t>before ownership may reduce disappointment and heartache later</w:t>
      </w:r>
      <w:r w:rsidR="008D21F0">
        <w:t xml:space="preserve">. </w:t>
      </w:r>
      <w:r w:rsidR="00B6188D">
        <w:t xml:space="preserve">A common example is the mildly </w:t>
      </w:r>
      <w:r w:rsidR="008D21F0">
        <w:t>pigeon-toed</w:t>
      </w:r>
      <w:r w:rsidR="00B6188D">
        <w:t xml:space="preserve"> horse that later </w:t>
      </w:r>
      <w:r w:rsidR="00100FFF">
        <w:t xml:space="preserve">in </w:t>
      </w:r>
      <w:r w:rsidR="00B6188D">
        <w:t>life develops issues with the medial aspect of the distal limb joints</w:t>
      </w:r>
      <w:r w:rsidR="008D21F0">
        <w:t xml:space="preserve">. </w:t>
      </w:r>
    </w:p>
    <w:p w14:paraId="0DAB39FF" w14:textId="4378D586" w:rsidR="004C3F38" w:rsidRPr="004C3F38" w:rsidRDefault="004C3F38" w:rsidP="00AF680C">
      <w:pPr>
        <w:ind w:left="360"/>
        <w:rPr>
          <w:b/>
          <w:bCs/>
        </w:rPr>
      </w:pPr>
      <w:r w:rsidRPr="004C3F38">
        <w:rPr>
          <w:b/>
          <w:bCs/>
        </w:rPr>
        <w:t>Excessive body condition</w:t>
      </w:r>
    </w:p>
    <w:p w14:paraId="5C477994" w14:textId="7EFF6305" w:rsidR="00313EB5" w:rsidRDefault="00B6188D" w:rsidP="00AF680C">
      <w:pPr>
        <w:ind w:left="360"/>
      </w:pPr>
      <w:r>
        <w:t>Excessive body condition is a commonly seen area of concern</w:t>
      </w:r>
      <w:r w:rsidR="008D21F0">
        <w:t xml:space="preserve">. </w:t>
      </w:r>
      <w:r>
        <w:t>This not only puts added stress on the body but also predisposes</w:t>
      </w:r>
      <w:r w:rsidR="00100FFF">
        <w:t xml:space="preserve"> the</w:t>
      </w:r>
      <w:r>
        <w:t xml:space="preserve"> horse to </w:t>
      </w:r>
      <w:r w:rsidR="00A2168C">
        <w:t>insulin resistance</w:t>
      </w:r>
      <w:r w:rsidR="008D21F0">
        <w:t xml:space="preserve">. </w:t>
      </w:r>
      <w:r w:rsidR="00FA05E8">
        <w:t>Obesity</w:t>
      </w:r>
      <w:r w:rsidR="00A2168C">
        <w:t xml:space="preserve"> is a complex and still not well understood phenomenon</w:t>
      </w:r>
      <w:r w:rsidR="00FA05E8">
        <w:t xml:space="preserve"> with links to increased body inflammation, reduced ability to fight infection and laminitis.</w:t>
      </w:r>
      <w:r w:rsidR="00FA05E8">
        <w:rPr>
          <w:vertAlign w:val="superscript"/>
        </w:rPr>
        <w:t>1</w:t>
      </w:r>
      <w:r w:rsidR="00313EB5">
        <w:t xml:space="preserve">  In the clinical setting I off see horses where insulin levels are dramatically increased with weight gain</w:t>
      </w:r>
      <w:r w:rsidR="00AF680C">
        <w:t xml:space="preserve"> putting them at risk when systemic steroids are used</w:t>
      </w:r>
      <w:r w:rsidR="00313EB5">
        <w:t xml:space="preserve">.  </w:t>
      </w:r>
      <w:r w:rsidR="00AF680C">
        <w:t xml:space="preserve">Overall, a good general feeding program </w:t>
      </w:r>
      <w:r w:rsidR="006749E0">
        <w:t>should meet the</w:t>
      </w:r>
      <w:r w:rsidR="00AF680C">
        <w:t xml:space="preserve"> </w:t>
      </w:r>
      <w:r w:rsidR="008D21F0">
        <w:t>horse’s</w:t>
      </w:r>
      <w:r w:rsidR="00AF680C">
        <w:t xml:space="preserve"> nutritional requirements without supplying excessive calories</w:t>
      </w:r>
      <w:r w:rsidR="006749E0">
        <w:t xml:space="preserve"> in the form of r</w:t>
      </w:r>
      <w:r w:rsidR="00AF680C">
        <w:t>eadily digestible carbohydrates.</w:t>
      </w:r>
    </w:p>
    <w:p w14:paraId="584D72A4" w14:textId="486FAC88" w:rsidR="004C3F38" w:rsidRPr="004C3F38" w:rsidRDefault="004C3F38" w:rsidP="00AF680C">
      <w:pPr>
        <w:ind w:left="360"/>
        <w:rPr>
          <w:b/>
          <w:bCs/>
        </w:rPr>
      </w:pPr>
      <w:r w:rsidRPr="004C3F38">
        <w:rPr>
          <w:b/>
          <w:bCs/>
        </w:rPr>
        <w:t>Vitamin E</w:t>
      </w:r>
    </w:p>
    <w:p w14:paraId="19DDF049" w14:textId="2EEBC654" w:rsidR="00313EB5" w:rsidRDefault="00313EB5" w:rsidP="0022764A">
      <w:pPr>
        <w:ind w:left="360"/>
      </w:pPr>
      <w:r>
        <w:t xml:space="preserve">Vitamin E,  a  liposoluble antioxidant, is important in the prevention of neuromuscular diseases and </w:t>
      </w:r>
      <w:r w:rsidR="009A2625">
        <w:t xml:space="preserve">related </w:t>
      </w:r>
      <w:r>
        <w:t>conditions across species.</w:t>
      </w:r>
      <w:r>
        <w:rPr>
          <w:vertAlign w:val="superscript"/>
        </w:rPr>
        <w:t>2</w:t>
      </w:r>
      <w:r>
        <w:t xml:space="preserve">  Whether or not a </w:t>
      </w:r>
      <w:r w:rsidR="008D21F0">
        <w:t>whole-body</w:t>
      </w:r>
      <w:r>
        <w:t xml:space="preserve"> vitamin E deficiency has an impact on health depends up</w:t>
      </w:r>
      <w:r w:rsidR="00C0224C">
        <w:t xml:space="preserve">on individual genetic factors, </w:t>
      </w:r>
      <w:r w:rsidR="00C0224C">
        <w:lastRenderedPageBreak/>
        <w:t>temporal occurrence of deficiency during development and the duration of deficiency</w:t>
      </w:r>
      <w:r w:rsidR="006749E0">
        <w:t xml:space="preserve">. </w:t>
      </w:r>
      <w:r w:rsidR="00C0224C">
        <w:t>Genetically susceptible foals may develop equine neuroaxonal dystrophy/equine degenerative myeloencephalopathy when deficient for the first year of their life</w:t>
      </w:r>
      <w:r w:rsidR="006749E0">
        <w:t xml:space="preserve">. </w:t>
      </w:r>
      <w:r w:rsidR="00C0224C">
        <w:t>Older horses that</w:t>
      </w:r>
      <w:r w:rsidR="009A2625">
        <w:t xml:space="preserve"> are</w:t>
      </w:r>
      <w:r w:rsidR="00C0224C">
        <w:t xml:space="preserve"> deficien</w:t>
      </w:r>
      <w:r w:rsidR="00443B56">
        <w:t>t</w:t>
      </w:r>
      <w:r w:rsidR="00C0224C">
        <w:t xml:space="preserve"> for at least 18 months</w:t>
      </w:r>
      <w:r w:rsidR="00940BEE">
        <w:t xml:space="preserve"> can develop  equine motor neuron disease.</w:t>
      </w:r>
      <w:r w:rsidR="00940BEE">
        <w:rPr>
          <w:vertAlign w:val="superscript"/>
        </w:rPr>
        <w:t>3,4</w:t>
      </w:r>
      <w:r w:rsidR="0037102B">
        <w:t xml:space="preserve">  Some adult horses, potentially those with a shorter duration of deficiency,  have a vitamin E responsive myopathy and present with muscle weakness with no evidence of neurogenic atrophy on muscle biopsies.</w:t>
      </w:r>
      <w:r w:rsidR="0037102B">
        <w:rPr>
          <w:vertAlign w:val="superscript"/>
        </w:rPr>
        <w:t xml:space="preserve">5 </w:t>
      </w:r>
      <w:r w:rsidR="0037102B">
        <w:t xml:space="preserve"> The absorption and metabolism of vitamin E in healthy horses and diseased horses may be different making  periodic measurement of serum vitamin E levels essential with adjustments to dosing </w:t>
      </w:r>
      <w:r w:rsidR="007C5A73">
        <w:t>made accordingly.  Horse owners are reluctant to supplement with liquid natural vitamin E long term</w:t>
      </w:r>
      <w:r w:rsidR="008D21F0">
        <w:t xml:space="preserve">. </w:t>
      </w:r>
      <w:r w:rsidR="007C5A73">
        <w:t>As a veterinarian you should be aware that there may be a precipitous drop in serum vitamin E levels due to a significant drop in absorption when you move from liquid to powder formulations</w:t>
      </w:r>
      <w:r w:rsidR="008D21F0">
        <w:t xml:space="preserve">. </w:t>
      </w:r>
      <w:r w:rsidR="007C5A73">
        <w:t xml:space="preserve">A proposed protocol is to supplement the non-neuromuscular disease horse at 6 IU/kg liquid or 10 IU/kg powder daily and recheck in 2-3 months, </w:t>
      </w:r>
      <w:r w:rsidR="009A2625">
        <w:t>whereas</w:t>
      </w:r>
      <w:r w:rsidR="007C5A73">
        <w:t xml:space="preserve"> the neuromuscular disease horse should be </w:t>
      </w:r>
      <w:r w:rsidR="009A2625">
        <w:t>started</w:t>
      </w:r>
      <w:r w:rsidR="007C5A73">
        <w:t xml:space="preserve"> with 10 IU/kg  liquid daily with retesting in 3-5 weeks.</w:t>
      </w:r>
      <w:r w:rsidR="007C5A73">
        <w:rPr>
          <w:vertAlign w:val="superscript"/>
        </w:rPr>
        <w:t xml:space="preserve">1  </w:t>
      </w:r>
      <w:r w:rsidR="007C5A73">
        <w:t xml:space="preserve"> A deficiency was considered to be &lt;2 ug/ml.  </w:t>
      </w:r>
      <w:r w:rsidR="00132304">
        <w:t>The NRC has set the upper safe limit for vitamin</w:t>
      </w:r>
      <w:r w:rsidR="008D21F0">
        <w:t xml:space="preserve"> E</w:t>
      </w:r>
      <w:r w:rsidR="00132304">
        <w:t xml:space="preserve"> at 20 IU/kg BW with coagulopathy and impaired bone mineralization report</w:t>
      </w:r>
      <w:r w:rsidR="00443B56">
        <w:t>ed</w:t>
      </w:r>
      <w:r w:rsidR="00132304">
        <w:t xml:space="preserve"> above this level.</w:t>
      </w:r>
      <w:r w:rsidR="00132304">
        <w:rPr>
          <w:vertAlign w:val="superscript"/>
        </w:rPr>
        <w:t xml:space="preserve">6 </w:t>
      </w:r>
      <w:r w:rsidR="00132304">
        <w:t xml:space="preserve">  </w:t>
      </w:r>
    </w:p>
    <w:p w14:paraId="00FDB46B" w14:textId="098746F3" w:rsidR="002F4869" w:rsidRPr="004C3F38" w:rsidRDefault="004C3F38" w:rsidP="0022764A">
      <w:pPr>
        <w:ind w:left="360"/>
        <w:rPr>
          <w:b/>
          <w:bCs/>
        </w:rPr>
      </w:pPr>
      <w:r w:rsidRPr="004C3F38">
        <w:rPr>
          <w:b/>
          <w:bCs/>
        </w:rPr>
        <w:t>Omega fatty acids</w:t>
      </w:r>
    </w:p>
    <w:p w14:paraId="1BEFEC55" w14:textId="65EB7D00" w:rsidR="002F4869" w:rsidRDefault="002F4869" w:rsidP="0022764A">
      <w:pPr>
        <w:ind w:left="360"/>
      </w:pPr>
      <w:r>
        <w:t xml:space="preserve">Omega fatty acids are also an area of nutrition research that has shown value in horses when supplemented </w:t>
      </w:r>
      <w:r w:rsidR="008D21F0">
        <w:t>by</w:t>
      </w:r>
      <w:r>
        <w:t xml:space="preserve"> reducing inflammation and improving overall performance</w:t>
      </w:r>
      <w:r w:rsidR="008D21F0">
        <w:t xml:space="preserve">. </w:t>
      </w:r>
      <w:r>
        <w:t>These supplements are readily available with research showing that not all supplements are equally effective.</w:t>
      </w:r>
      <w:r>
        <w:rPr>
          <w:vertAlign w:val="superscript"/>
        </w:rPr>
        <w:t>7,8</w:t>
      </w:r>
      <w:r w:rsidR="00AF680C">
        <w:t xml:space="preserve"> This is a supplement that we should be more proactively using in feeding programs.</w:t>
      </w:r>
    </w:p>
    <w:p w14:paraId="3B13C26D" w14:textId="77777777" w:rsidR="007158BF" w:rsidRPr="004C3F38" w:rsidRDefault="00CE1DBF" w:rsidP="007158BF">
      <w:pPr>
        <w:ind w:left="360"/>
        <w:rPr>
          <w:b/>
          <w:bCs/>
        </w:rPr>
      </w:pPr>
      <w:r w:rsidRPr="004C3F38">
        <w:rPr>
          <w:b/>
          <w:bCs/>
        </w:rPr>
        <w:t>Magnesium</w:t>
      </w:r>
      <w:r w:rsidR="007158BF" w:rsidRPr="004C3F38">
        <w:rPr>
          <w:b/>
          <w:bCs/>
        </w:rPr>
        <w:t>(Mg)</w:t>
      </w:r>
    </w:p>
    <w:p w14:paraId="7D66E246" w14:textId="41579412" w:rsidR="007158BF" w:rsidRDefault="007158BF" w:rsidP="007158BF">
      <w:pPr>
        <w:ind w:left="360"/>
      </w:pPr>
      <w:r>
        <w:t>Mg is an essential m</w:t>
      </w:r>
      <w:r w:rsidR="00C15316">
        <w:t>a</w:t>
      </w:r>
      <w:r>
        <w:t xml:space="preserve">croelement involved in physiologic processes such as </w:t>
      </w:r>
      <w:r w:rsidR="008D21F0">
        <w:t>enzymatic</w:t>
      </w:r>
      <w:r>
        <w:t xml:space="preserve"> activation, intermediary metabolism</w:t>
      </w:r>
      <w:r w:rsidR="00C15316">
        <w:t xml:space="preserve"> </w:t>
      </w:r>
      <w:r>
        <w:t>of carbohydrates, fats, proteins, nucleic ac</w:t>
      </w:r>
      <w:r w:rsidR="00C15316">
        <w:t>id metabolism, regulation of membrane function, nerve function, muscle  contraction, and cell proliferation.</w:t>
      </w:r>
      <w:r w:rsidR="00C15316">
        <w:rPr>
          <w:vertAlign w:val="superscript"/>
        </w:rPr>
        <w:t>9</w:t>
      </w:r>
      <w:r w:rsidR="00C15316">
        <w:t xml:space="preserve"> Mg plays essential roles in inflammation, protection against free radical injury, and neurotoxicity.  Hypomagnesemia has been associated with increased cytokine production and systemic inflammation.</w:t>
      </w:r>
      <w:r w:rsidR="00C15316">
        <w:rPr>
          <w:vertAlign w:val="superscript"/>
        </w:rPr>
        <w:t>10</w:t>
      </w:r>
      <w:r w:rsidR="00C15316">
        <w:t xml:space="preserve">   </w:t>
      </w:r>
    </w:p>
    <w:p w14:paraId="408B0C7C" w14:textId="00169536" w:rsidR="00430306" w:rsidRPr="004C3F38" w:rsidRDefault="00430306" w:rsidP="007158BF">
      <w:pPr>
        <w:ind w:left="360"/>
        <w:rPr>
          <w:b/>
          <w:bCs/>
        </w:rPr>
      </w:pPr>
      <w:r w:rsidRPr="004C3F38">
        <w:rPr>
          <w:b/>
          <w:bCs/>
        </w:rPr>
        <w:t>Farrier work</w:t>
      </w:r>
    </w:p>
    <w:p w14:paraId="7EA5DB58" w14:textId="1726A39A" w:rsidR="00430306" w:rsidRDefault="00430306" w:rsidP="00430306">
      <w:pPr>
        <w:ind w:left="360"/>
      </w:pPr>
      <w:r>
        <w:t>Regular farrier work with or without shoeing is vital  for most horses to maintain good hoof wall health along with proper medial to lateral and palmar balance</w:t>
      </w:r>
      <w:r w:rsidR="008D21F0">
        <w:t xml:space="preserve">. </w:t>
      </w:r>
      <w:r>
        <w:t>Failure to do this can lead to additional stress and potential injury to the structures of the leg</w:t>
      </w:r>
      <w:r w:rsidR="008D21F0">
        <w:t xml:space="preserve">. </w:t>
      </w:r>
      <w:r>
        <w:t>Horses with conformational faults are particularly susceptible.</w:t>
      </w:r>
    </w:p>
    <w:p w14:paraId="22BE29F2" w14:textId="3F48D973" w:rsidR="00430306" w:rsidRPr="004C3F38" w:rsidRDefault="00430306" w:rsidP="00430306">
      <w:pPr>
        <w:pStyle w:val="ListParagraph"/>
        <w:numPr>
          <w:ilvl w:val="0"/>
          <w:numId w:val="1"/>
        </w:numPr>
        <w:rPr>
          <w:b/>
          <w:bCs/>
        </w:rPr>
      </w:pPr>
      <w:r w:rsidRPr="004C3F38">
        <w:rPr>
          <w:b/>
          <w:bCs/>
        </w:rPr>
        <w:t>Regular veterinary care</w:t>
      </w:r>
    </w:p>
    <w:p w14:paraId="4C3599F5" w14:textId="520B541C" w:rsidR="00430306" w:rsidRDefault="002A140A" w:rsidP="00430306">
      <w:pPr>
        <w:ind w:left="360"/>
      </w:pPr>
      <w:r>
        <w:t xml:space="preserve">As a </w:t>
      </w:r>
      <w:r w:rsidR="00894866">
        <w:t>veterinarian</w:t>
      </w:r>
      <w:r>
        <w:t xml:space="preserve"> you play a vital role in noticing changes in a horse’s demeanor, body condition, conformation</w:t>
      </w:r>
      <w:r w:rsidR="008B0D60">
        <w:t xml:space="preserve">, </w:t>
      </w:r>
      <w:r w:rsidR="008D21F0">
        <w:t>health,</w:t>
      </w:r>
      <w:r w:rsidR="008B0D60">
        <w:t xml:space="preserve"> and movement which are all key facts to maintaining long term soundness</w:t>
      </w:r>
      <w:r w:rsidR="008D21F0">
        <w:t xml:space="preserve">. </w:t>
      </w:r>
      <w:r w:rsidR="008B0D60">
        <w:t>Horse owners may not be aware of these changes or their potential significance.</w:t>
      </w:r>
    </w:p>
    <w:p w14:paraId="34DDC507" w14:textId="070774E6" w:rsidR="008B0D60" w:rsidRPr="004C3F38" w:rsidRDefault="008B0D60" w:rsidP="008B0D60">
      <w:pPr>
        <w:pStyle w:val="ListParagraph"/>
        <w:numPr>
          <w:ilvl w:val="0"/>
          <w:numId w:val="1"/>
        </w:numPr>
        <w:rPr>
          <w:b/>
          <w:bCs/>
        </w:rPr>
      </w:pPr>
      <w:r w:rsidRPr="004C3F38">
        <w:rPr>
          <w:b/>
          <w:bCs/>
        </w:rPr>
        <w:t>Footing</w:t>
      </w:r>
    </w:p>
    <w:p w14:paraId="0B84096E" w14:textId="4320F9F6" w:rsidR="008B0D60" w:rsidRDefault="006B6423" w:rsidP="008B0D60">
      <w:pPr>
        <w:ind w:left="360"/>
      </w:pPr>
      <w:r>
        <w:t xml:space="preserve">Footing is </w:t>
      </w:r>
      <w:r w:rsidR="009A2625">
        <w:t xml:space="preserve">frequently </w:t>
      </w:r>
      <w:r>
        <w:t>either overlooked or undervalued as an underlying source of lameness</w:t>
      </w:r>
      <w:r w:rsidR="008D21F0">
        <w:t xml:space="preserve">. </w:t>
      </w:r>
      <w:r>
        <w:t xml:space="preserve">Deep footing increases strain on soft tissue structures while </w:t>
      </w:r>
      <w:r w:rsidR="000A6B0F">
        <w:t>hard</w:t>
      </w:r>
      <w:r>
        <w:t xml:space="preserve"> footing can lead to concussive injuries to bone and joints</w:t>
      </w:r>
      <w:r w:rsidR="006749E0">
        <w:t xml:space="preserve">. </w:t>
      </w:r>
      <w:r w:rsidR="009A2625">
        <w:t>Equine athletic performance in</w:t>
      </w:r>
      <w:r>
        <w:t xml:space="preserve"> improper footing, particularly outdoors in inclement </w:t>
      </w:r>
      <w:r w:rsidR="000A6B0F">
        <w:t>weather,</w:t>
      </w:r>
      <w:r>
        <w:t xml:space="preserve"> is one of the biggest regrets of  top riders</w:t>
      </w:r>
      <w:r w:rsidR="009A2625">
        <w:t xml:space="preserve"> over the years due to the occasional performance altering injury to their top performers</w:t>
      </w:r>
      <w:r w:rsidR="008D21F0">
        <w:t>.</w:t>
      </w:r>
      <w:r w:rsidR="000A6B0F">
        <w:t xml:space="preserve"> </w:t>
      </w:r>
      <w:r w:rsidR="006D3641">
        <w:t>Fortunately,</w:t>
      </w:r>
      <w:r w:rsidR="009A2625">
        <w:t xml:space="preserve"> there have been tremendous advancements with footing in this regard.</w:t>
      </w:r>
    </w:p>
    <w:p w14:paraId="2EEBD564" w14:textId="2D98A811" w:rsidR="006B6423" w:rsidRPr="004C3F38" w:rsidRDefault="00630A4F" w:rsidP="00630A4F">
      <w:pPr>
        <w:pStyle w:val="ListParagraph"/>
        <w:numPr>
          <w:ilvl w:val="0"/>
          <w:numId w:val="1"/>
        </w:numPr>
        <w:rPr>
          <w:b/>
          <w:bCs/>
        </w:rPr>
      </w:pPr>
      <w:r w:rsidRPr="004C3F38">
        <w:rPr>
          <w:b/>
          <w:bCs/>
        </w:rPr>
        <w:t>Core strength, conditioning, rehabilitation</w:t>
      </w:r>
      <w:r w:rsidR="00C15316" w:rsidRPr="004C3F38">
        <w:rPr>
          <w:b/>
          <w:bCs/>
          <w:vertAlign w:val="superscript"/>
        </w:rPr>
        <w:t>11</w:t>
      </w:r>
      <w:r w:rsidRPr="004C3F38">
        <w:rPr>
          <w:b/>
          <w:bCs/>
        </w:rPr>
        <w:t xml:space="preserve"> </w:t>
      </w:r>
    </w:p>
    <w:p w14:paraId="56BEBEA0" w14:textId="7FFF5B56" w:rsidR="00630A4F" w:rsidRDefault="00630A4F" w:rsidP="00630A4F">
      <w:pPr>
        <w:ind w:left="360"/>
      </w:pPr>
      <w:r>
        <w:t>It is incredibly important for both horses and riders to have good core strength</w:t>
      </w:r>
      <w:r w:rsidR="008D21F0">
        <w:t xml:space="preserve">. </w:t>
      </w:r>
      <w:r>
        <w:t xml:space="preserve">This is </w:t>
      </w:r>
      <w:r w:rsidR="000A6B0F">
        <w:t>frequently</w:t>
      </w:r>
      <w:r>
        <w:t xml:space="preserve"> taken for granted which leads to imbalance issues for all </w:t>
      </w:r>
      <w:r w:rsidR="000A6B0F">
        <w:t>concerned,</w:t>
      </w:r>
      <w:r>
        <w:t xml:space="preserve"> leading to uneven weight carriage that can lead to injury and lameness over time</w:t>
      </w:r>
      <w:r w:rsidR="006749E0">
        <w:t xml:space="preserve">. </w:t>
      </w:r>
      <w:r>
        <w:t xml:space="preserve">When building core strength muscle performance, balance/postural equilibrium, stability, mobility/flexibility, </w:t>
      </w:r>
      <w:r w:rsidR="008D21F0">
        <w:t>cardiopulmonary</w:t>
      </w:r>
      <w:r>
        <w:t xml:space="preserve"> </w:t>
      </w:r>
      <w:r w:rsidR="000A6B0F">
        <w:t>endurance,</w:t>
      </w:r>
      <w:r>
        <w:t xml:space="preserve"> and neuromuscular control/coordination all play </w:t>
      </w:r>
      <w:r w:rsidR="000A6B0F">
        <w:t>a key role</w:t>
      </w:r>
      <w:r w:rsidR="008D21F0">
        <w:t xml:space="preserve">. </w:t>
      </w:r>
      <w:r>
        <w:t xml:space="preserve">Core stabilizes muscles and controls all degrees of motion through the axial skeleton during exercise. It assists with posture, pelvic </w:t>
      </w:r>
      <w:r w:rsidR="000A6B0F">
        <w:t>symmetry,</w:t>
      </w:r>
      <w:r>
        <w:t xml:space="preserve"> and balance</w:t>
      </w:r>
      <w:r w:rsidR="008D21F0">
        <w:t xml:space="preserve">. </w:t>
      </w:r>
      <w:r w:rsidR="00C1089E">
        <w:t>Core strength is important</w:t>
      </w:r>
      <w:r w:rsidR="009A2625">
        <w:t xml:space="preserve"> in</w:t>
      </w:r>
      <w:r w:rsidR="00C1089E">
        <w:t xml:space="preserve"> injury prevention </w:t>
      </w:r>
      <w:r w:rsidR="009A2625">
        <w:t>while at the same time</w:t>
      </w:r>
      <w:r w:rsidR="00C1089E">
        <w:t xml:space="preserve"> enhanc</w:t>
      </w:r>
      <w:r w:rsidR="009A2625">
        <w:t xml:space="preserve">ing overall </w:t>
      </w:r>
      <w:r w:rsidR="00C1089E">
        <w:t>performance</w:t>
      </w:r>
      <w:r w:rsidR="009A2625">
        <w:t xml:space="preserve"> of the equine athlete</w:t>
      </w:r>
      <w:r w:rsidR="008D21F0">
        <w:t xml:space="preserve">. </w:t>
      </w:r>
      <w:r w:rsidR="00C1089E">
        <w:t xml:space="preserve">Dynamic spinal mobilization exercises (DSME) active specific muscles </w:t>
      </w:r>
      <w:r w:rsidR="009A2625">
        <w:t>that</w:t>
      </w:r>
      <w:r w:rsidR="00C1089E">
        <w:t xml:space="preserve"> mov</w:t>
      </w:r>
      <w:r w:rsidR="000A6B0F">
        <w:t>e</w:t>
      </w:r>
      <w:r w:rsidR="00C1089E">
        <w:t xml:space="preserve"> and stabilize the intervertebral joints as the horse moves his chin into </w:t>
      </w:r>
      <w:r w:rsidR="006749E0">
        <w:t>various positions</w:t>
      </w:r>
      <w:r w:rsidR="008D21F0">
        <w:t xml:space="preserve">. </w:t>
      </w:r>
      <w:r w:rsidR="00C1089E">
        <w:t xml:space="preserve">The abdominal muscles help to round and bend the back while the back muscles provide a counter-torque that stabilizes the intervertebral joints during back movement. Proprioception is mediated by receptors in muscles, </w:t>
      </w:r>
      <w:r w:rsidR="000A6B0F">
        <w:t>tendons,</w:t>
      </w:r>
      <w:r w:rsidR="00C1089E">
        <w:t xml:space="preserve"> and joints (golgi tendon organs, </w:t>
      </w:r>
      <w:r w:rsidR="006749E0">
        <w:t>mechanoreceptors,</w:t>
      </w:r>
      <w:r w:rsidR="00C1089E">
        <w:t xml:space="preserve"> and muscle spindles)</w:t>
      </w:r>
      <w:r w:rsidR="008D21F0">
        <w:t xml:space="preserve">. </w:t>
      </w:r>
      <w:r w:rsidR="00C1089E">
        <w:t>With injury or disease there is less stimulation/input to proprioceptors</w:t>
      </w:r>
      <w:r w:rsidR="000A6B0F">
        <w:t xml:space="preserve">. </w:t>
      </w:r>
      <w:r w:rsidR="00C1089E">
        <w:t>Pain can also inhibit proprioception and alter muscle activation patterns</w:t>
      </w:r>
      <w:r w:rsidR="008D21F0">
        <w:t xml:space="preserve">. </w:t>
      </w:r>
      <w:r w:rsidR="00C1089E">
        <w:t>The net result of impaired proprioception is altered motor planning, poor ability to grade movements and decreased postural stability</w:t>
      </w:r>
      <w:r w:rsidR="006749E0">
        <w:t xml:space="preserve">. </w:t>
      </w:r>
      <w:r w:rsidR="00C1089E">
        <w:t>Proprioception exercises should be incorporated into therapeutic exercise recovery programs for complete recovery</w:t>
      </w:r>
      <w:r w:rsidR="008D21F0">
        <w:t xml:space="preserve">. </w:t>
      </w:r>
      <w:r w:rsidR="000A6B0F">
        <w:t>All</w:t>
      </w:r>
      <w:r w:rsidR="00CE1DBF">
        <w:t xml:space="preserve"> these aspects affect both the horse and rider and interplay with the partnership and their mutual development.</w:t>
      </w:r>
    </w:p>
    <w:p w14:paraId="7029AC08" w14:textId="57D52DD0" w:rsidR="004C3F38" w:rsidRPr="004C3F38" w:rsidRDefault="004C3F38" w:rsidP="004C3F38">
      <w:pPr>
        <w:pStyle w:val="ListParagraph"/>
        <w:numPr>
          <w:ilvl w:val="0"/>
          <w:numId w:val="1"/>
        </w:numPr>
        <w:rPr>
          <w:b/>
          <w:bCs/>
        </w:rPr>
      </w:pPr>
      <w:r w:rsidRPr="004C3F38">
        <w:rPr>
          <w:b/>
          <w:bCs/>
        </w:rPr>
        <w:t>Compl</w:t>
      </w:r>
      <w:r w:rsidR="00443B56">
        <w:rPr>
          <w:b/>
          <w:bCs/>
        </w:rPr>
        <w:t>e</w:t>
      </w:r>
      <w:r w:rsidRPr="004C3F38">
        <w:rPr>
          <w:b/>
          <w:bCs/>
        </w:rPr>
        <w:t>mentary Therapies</w:t>
      </w:r>
    </w:p>
    <w:p w14:paraId="2755E387" w14:textId="18D6C675" w:rsidR="004C3F38" w:rsidRDefault="004C3F38" w:rsidP="004C3F38">
      <w:pPr>
        <w:ind w:left="360"/>
      </w:pPr>
      <w:r>
        <w:t>Chiropractic, Acupuncture, etc. are other therapies that can be of great benefit</w:t>
      </w:r>
      <w:r w:rsidR="006749E0">
        <w:t xml:space="preserve">. </w:t>
      </w:r>
      <w:r>
        <w:t>Routine care such as bandaging and icing can be used when appropriate in either response to an injury or aid in injury prevention. Surpass is a topical liposomal form of diclofenac approved for treatment of OA that is readily absorbed through the skin with minimal systemic absorption serving as a safe and effective local treatment.</w:t>
      </w:r>
    </w:p>
    <w:p w14:paraId="0DF1E273" w14:textId="674A456A" w:rsidR="00CE1DBF" w:rsidRPr="004C3F38" w:rsidRDefault="00CE1DBF" w:rsidP="00CE1DBF">
      <w:pPr>
        <w:pStyle w:val="ListParagraph"/>
        <w:numPr>
          <w:ilvl w:val="0"/>
          <w:numId w:val="1"/>
        </w:numPr>
        <w:rPr>
          <w:b/>
          <w:bCs/>
        </w:rPr>
      </w:pPr>
      <w:r w:rsidRPr="004C3F38">
        <w:rPr>
          <w:b/>
          <w:bCs/>
        </w:rPr>
        <w:t>Supplements and Medications</w:t>
      </w:r>
    </w:p>
    <w:p w14:paraId="507FA653" w14:textId="272C7DBC" w:rsidR="00B86881" w:rsidRDefault="00B86881" w:rsidP="00B86881">
      <w:pPr>
        <w:ind w:left="360"/>
      </w:pPr>
      <w:r>
        <w:t>There is an overwhelming number of oral supplements with primarily anecdotal accounts regarding how well they work</w:t>
      </w:r>
      <w:r w:rsidR="008D21F0">
        <w:t xml:space="preserve">. </w:t>
      </w:r>
      <w:r>
        <w:t xml:space="preserve">I </w:t>
      </w:r>
      <w:r w:rsidR="000A6B0F">
        <w:t>do</w:t>
      </w:r>
      <w:r>
        <w:t xml:space="preserve"> not recommend any specific supplements</w:t>
      </w:r>
      <w:r w:rsidR="008D21F0">
        <w:t>.</w:t>
      </w:r>
    </w:p>
    <w:p w14:paraId="7E3C79DC" w14:textId="14025B67" w:rsidR="00B86881" w:rsidRPr="004C3F38" w:rsidRDefault="00B86881" w:rsidP="00B86881">
      <w:pPr>
        <w:ind w:left="360"/>
        <w:rPr>
          <w:b/>
          <w:bCs/>
        </w:rPr>
      </w:pPr>
      <w:r w:rsidRPr="004C3F38">
        <w:rPr>
          <w:b/>
          <w:bCs/>
        </w:rPr>
        <w:t>Hyaluronic acid</w:t>
      </w:r>
      <w:r w:rsidR="002C53E7" w:rsidRPr="004C3F38">
        <w:rPr>
          <w:b/>
          <w:bCs/>
        </w:rPr>
        <w:t xml:space="preserve"> (Legend)</w:t>
      </w:r>
    </w:p>
    <w:p w14:paraId="0812872B" w14:textId="296295E5" w:rsidR="00B86881" w:rsidRPr="002C53E7" w:rsidRDefault="002C53E7" w:rsidP="00B86881">
      <w:pPr>
        <w:ind w:left="360"/>
        <w:rPr>
          <w:vertAlign w:val="superscript"/>
        </w:rPr>
      </w:pPr>
      <w:r>
        <w:t>Legend is a low molecular weight conjugated acid of hyaluronate sodium extracted from the capsule of Streptococcus species</w:t>
      </w:r>
      <w:r w:rsidR="008D21F0">
        <w:t xml:space="preserve">. </w:t>
      </w:r>
      <w:r>
        <w:t xml:space="preserve">The mechanism of action is not completely understood though its major function </w:t>
      </w:r>
      <w:r w:rsidR="006749E0">
        <w:t>is</w:t>
      </w:r>
      <w:r w:rsidR="000A6B0F">
        <w:t xml:space="preserve"> on the synovium through</w:t>
      </w:r>
      <w:r>
        <w:t xml:space="preserve"> the regulation of normal cellular </w:t>
      </w:r>
      <w:r w:rsidR="009A2625">
        <w:t>activities</w:t>
      </w:r>
      <w:r w:rsidR="008D21F0">
        <w:t xml:space="preserve">. </w:t>
      </w:r>
      <w:r>
        <w:t xml:space="preserve">The </w:t>
      </w:r>
      <w:r w:rsidR="009A2625">
        <w:t xml:space="preserve">resultant </w:t>
      </w:r>
      <w:r>
        <w:t xml:space="preserve">effect decreases the impact of </w:t>
      </w:r>
      <w:r w:rsidR="009A2625">
        <w:t xml:space="preserve">catabolic </w:t>
      </w:r>
      <w:r>
        <w:t>enzyme release and subsequent degradation of joint integrity</w:t>
      </w:r>
      <w:r w:rsidR="008D21F0">
        <w:t xml:space="preserve">. </w:t>
      </w:r>
      <w:r>
        <w:t>It also  exerts an anti-inflammatory action by inhibiting the movement of granulocytes and macrophages from the synovium.</w:t>
      </w:r>
      <w:r>
        <w:rPr>
          <w:vertAlign w:val="superscript"/>
        </w:rPr>
        <w:t>12</w:t>
      </w:r>
    </w:p>
    <w:p w14:paraId="03BD37A6" w14:textId="12C87053" w:rsidR="00B86881" w:rsidRPr="004C3F38" w:rsidRDefault="00B86881" w:rsidP="00B86881">
      <w:pPr>
        <w:ind w:left="360"/>
        <w:rPr>
          <w:b/>
          <w:bCs/>
        </w:rPr>
      </w:pPr>
      <w:r w:rsidRPr="004C3F38">
        <w:rPr>
          <w:b/>
          <w:bCs/>
        </w:rPr>
        <w:t>Polysulfated glycosaminoglycan (PSGAG)</w:t>
      </w:r>
    </w:p>
    <w:p w14:paraId="774F4741" w14:textId="1AA25030" w:rsidR="00B86881" w:rsidRPr="00003C2D" w:rsidRDefault="001064AA" w:rsidP="004C3F38">
      <w:pPr>
        <w:ind w:left="360"/>
      </w:pPr>
      <w:r>
        <w:t>Adequan is a PSGAG made from bovine cartilage</w:t>
      </w:r>
      <w:r w:rsidR="008D21F0">
        <w:t xml:space="preserve">. </w:t>
      </w:r>
      <w:r>
        <w:t>Adequan</w:t>
      </w:r>
      <w:r w:rsidR="00003C2D" w:rsidRPr="00003C2D">
        <w:t>, when given IM, reaches pea</w:t>
      </w:r>
      <w:r w:rsidR="00003C2D">
        <w:t xml:space="preserve">k </w:t>
      </w:r>
      <w:r>
        <w:t xml:space="preserve">joint </w:t>
      </w:r>
      <w:r w:rsidR="00003C2D">
        <w:t xml:space="preserve">levels within 2 hours and is detected in subchondral bone for up to 96 hours </w:t>
      </w:r>
      <w:r>
        <w:t>along with joint levels of</w:t>
      </w:r>
      <w:r w:rsidR="00003C2D">
        <w:t xml:space="preserve"> </w:t>
      </w:r>
      <w:r w:rsidR="006D3641">
        <w:t>HA</w:t>
      </w:r>
      <w:r w:rsidR="00003C2D">
        <w:t xml:space="preserve"> double at 48 hours</w:t>
      </w:r>
      <w:r w:rsidR="008D21F0">
        <w:t xml:space="preserve">. </w:t>
      </w:r>
      <w:r>
        <w:t xml:space="preserve">In </w:t>
      </w:r>
      <w:r w:rsidR="000A6B0F">
        <w:t>addition,</w:t>
      </w:r>
      <w:r>
        <w:t xml:space="preserve"> Adequan has been shown to have an inhibitory effect on catabolic enzymes present </w:t>
      </w:r>
      <w:r w:rsidR="00477CB4">
        <w:t xml:space="preserve">while stimulating synthesis of protein, </w:t>
      </w:r>
      <w:r w:rsidR="008D21F0">
        <w:t>collagen, proteoglycan</w:t>
      </w:r>
      <w:r w:rsidR="00477CB4">
        <w:t xml:space="preserve"> and hyaluronic in various cells and tissues in vitro</w:t>
      </w:r>
      <w:r>
        <w:t>.</w:t>
      </w:r>
    </w:p>
    <w:p w14:paraId="7E68FFA4" w14:textId="74DD5F31" w:rsidR="00B86881" w:rsidRPr="004C3F38" w:rsidRDefault="00B86881" w:rsidP="00B86881">
      <w:pPr>
        <w:ind w:left="360"/>
        <w:rPr>
          <w:b/>
          <w:bCs/>
        </w:rPr>
      </w:pPr>
      <w:r w:rsidRPr="004C3F38">
        <w:rPr>
          <w:b/>
          <w:bCs/>
        </w:rPr>
        <w:t xml:space="preserve">Pentosan </w:t>
      </w:r>
      <w:r w:rsidR="00D65EAE" w:rsidRPr="004C3F38">
        <w:rPr>
          <w:b/>
          <w:bCs/>
        </w:rPr>
        <w:t>poly</w:t>
      </w:r>
      <w:r w:rsidRPr="004C3F38">
        <w:rPr>
          <w:b/>
          <w:bCs/>
        </w:rPr>
        <w:t>sulfate</w:t>
      </w:r>
      <w:r w:rsidR="0098776D" w:rsidRPr="004C3F38">
        <w:rPr>
          <w:b/>
          <w:bCs/>
        </w:rPr>
        <w:t>(Zycosan)</w:t>
      </w:r>
    </w:p>
    <w:p w14:paraId="5D064383" w14:textId="6B0F16B1" w:rsidR="00B86881" w:rsidRDefault="0098776D" w:rsidP="00FC7E2B">
      <w:pPr>
        <w:ind w:left="360"/>
      </w:pPr>
      <w:r>
        <w:t>Zycosan is the only FDA approved pentosan sulfate sodium</w:t>
      </w:r>
      <w:r w:rsidR="008D21F0">
        <w:t xml:space="preserve">. </w:t>
      </w:r>
      <w:r>
        <w:t>Its active ingredient is derived from the beechwood tree</w:t>
      </w:r>
      <w:r w:rsidR="008D21F0">
        <w:t xml:space="preserve">. </w:t>
      </w:r>
      <w:r>
        <w:t>In a chip fracture model Zycosan was found to be chondroprotective along with showing significant increases of chondroitin sulfate in both treated and untreated joints of horses.</w:t>
      </w:r>
      <w:r>
        <w:rPr>
          <w:vertAlign w:val="superscript"/>
        </w:rPr>
        <w:t>14</w:t>
      </w:r>
      <w:r>
        <w:t xml:space="preserve"> These results indicating a disease modifying effect indicating that it may be a therapeutic option for arthritic horses</w:t>
      </w:r>
      <w:r w:rsidR="000A6B0F">
        <w:t xml:space="preserve">. </w:t>
      </w:r>
      <w:r w:rsidR="00D65EAE">
        <w:t>In a clinical fiel</w:t>
      </w:r>
      <w:r w:rsidR="0056571D">
        <w:t>d</w:t>
      </w:r>
      <w:r w:rsidR="00D65EAE">
        <w:t xml:space="preserve"> study Zycosan was shown to have a significant improvement in lameness over controls.</w:t>
      </w:r>
      <w:proofErr w:type="gramStart"/>
      <w:r w:rsidR="00D65EAE">
        <w:rPr>
          <w:vertAlign w:val="superscript"/>
        </w:rPr>
        <w:t>15</w:t>
      </w:r>
      <w:r w:rsidR="00D65EAE">
        <w:t xml:space="preserve">  It</w:t>
      </w:r>
      <w:proofErr w:type="gramEnd"/>
      <w:r w:rsidR="00D65EAE">
        <w:t xml:space="preserve"> is also important to note that Zycosan has thrombolytic properties </w:t>
      </w:r>
      <w:r w:rsidR="006749E0">
        <w:t>like</w:t>
      </w:r>
      <w:r w:rsidR="00D65EAE">
        <w:t xml:space="preserve"> heparin indicating that extreme exercise should be avoided during the first 24 hours after injection.</w:t>
      </w:r>
    </w:p>
    <w:p w14:paraId="6EC4352C" w14:textId="41F8EC6E" w:rsidR="00B86881" w:rsidRPr="004C3F38" w:rsidRDefault="007158BF" w:rsidP="00B86881">
      <w:pPr>
        <w:ind w:left="360"/>
        <w:rPr>
          <w:b/>
          <w:bCs/>
        </w:rPr>
      </w:pPr>
      <w:r w:rsidRPr="004C3F38">
        <w:rPr>
          <w:b/>
          <w:bCs/>
        </w:rPr>
        <w:t>Clodronat</w:t>
      </w:r>
      <w:r w:rsidR="0056571D" w:rsidRPr="004C3F38">
        <w:rPr>
          <w:b/>
          <w:bCs/>
        </w:rPr>
        <w:t>e</w:t>
      </w:r>
      <w:r w:rsidR="00121798" w:rsidRPr="004C3F38">
        <w:rPr>
          <w:b/>
          <w:bCs/>
        </w:rPr>
        <w:t xml:space="preserve"> (Osphos)</w:t>
      </w:r>
    </w:p>
    <w:p w14:paraId="78EFE75C" w14:textId="6EC4653B" w:rsidR="00FC7E2B" w:rsidRDefault="00121798" w:rsidP="004C3F38">
      <w:pPr>
        <w:ind w:left="360"/>
      </w:pPr>
      <w:r>
        <w:t>Osphos is a bisphosphonate FDA approved for the treatment of navicular syndrome in horses</w:t>
      </w:r>
      <w:r w:rsidR="006749E0">
        <w:t xml:space="preserve">. </w:t>
      </w:r>
      <w:r w:rsidR="00FC7E2B">
        <w:t>It’s</w:t>
      </w:r>
      <w:r>
        <w:t xml:space="preserve"> believed action is to inhibit osteoclast activity in bone</w:t>
      </w:r>
      <w:r w:rsidR="000A6B0F">
        <w:t xml:space="preserve">. </w:t>
      </w:r>
      <w:r w:rsidR="00FC7E2B">
        <w:t xml:space="preserve">It is a non-nitrogenous bisphosphate which means it has </w:t>
      </w:r>
      <w:r w:rsidR="006749E0">
        <w:t>low</w:t>
      </w:r>
      <w:r w:rsidR="00FC7E2B">
        <w:t xml:space="preserve"> activity compared to commonly used nitrogenous bisphosphonates</w:t>
      </w:r>
      <w:r w:rsidR="009A2625">
        <w:t xml:space="preserve"> in human medicine</w:t>
      </w:r>
      <w:r w:rsidR="006749E0">
        <w:t xml:space="preserve">. </w:t>
      </w:r>
      <w:r>
        <w:t>It was shown in a clinical study to improve lameness in navicular horses without changing bone turnover markers.</w:t>
      </w:r>
      <w:r>
        <w:rPr>
          <w:vertAlign w:val="superscript"/>
        </w:rPr>
        <w:t>16</w:t>
      </w:r>
      <w:r w:rsidR="00FC7E2B">
        <w:t xml:space="preserve"> In rare instances it can cause acute renal </w:t>
      </w:r>
      <w:r w:rsidR="008D21F0">
        <w:t>failure,</w:t>
      </w:r>
      <w:r w:rsidR="00FC7E2B">
        <w:t xml:space="preserve"> and it is not recommended to give NSAIDs at the time of treatment.</w:t>
      </w:r>
    </w:p>
    <w:p w14:paraId="5537D15B" w14:textId="708BA7EB" w:rsidR="004C3F38" w:rsidRDefault="004C3F38" w:rsidP="004C3F38">
      <w:pPr>
        <w:ind w:left="360"/>
      </w:pPr>
      <w:r>
        <w:t>In summary,  during this presentation we would look at various aspects of horse care along with management and preventive treatment strategies that may be of value</w:t>
      </w:r>
      <w:r w:rsidR="006749E0">
        <w:t xml:space="preserve">. </w:t>
      </w:r>
      <w:r>
        <w:t xml:space="preserve">There are no </w:t>
      </w:r>
      <w:r w:rsidR="006D3641">
        <w:t>long-term</w:t>
      </w:r>
      <w:r>
        <w:t xml:space="preserve"> care studies in horses that show specific care and treatment strategies long term.</w:t>
      </w:r>
    </w:p>
    <w:p w14:paraId="34706CA1" w14:textId="77777777" w:rsidR="00AF680C" w:rsidRPr="002F4869" w:rsidRDefault="00AF680C" w:rsidP="009A2625"/>
    <w:p w14:paraId="3513D4A2" w14:textId="208A6579" w:rsidR="00313EB5" w:rsidRPr="004C3F38" w:rsidRDefault="009A2625" w:rsidP="009A2625">
      <w:pPr>
        <w:ind w:left="360"/>
        <w:rPr>
          <w:b/>
          <w:bCs/>
        </w:rPr>
      </w:pPr>
      <w:r w:rsidRPr="004C3F38">
        <w:rPr>
          <w:b/>
          <w:bCs/>
        </w:rPr>
        <w:t>References</w:t>
      </w:r>
    </w:p>
    <w:p w14:paraId="71711996" w14:textId="09D0E0B6" w:rsidR="006205B1" w:rsidRDefault="00313EB5" w:rsidP="00940BEE">
      <w:pPr>
        <w:pStyle w:val="ListParagraph"/>
        <w:numPr>
          <w:ilvl w:val="0"/>
          <w:numId w:val="2"/>
        </w:numPr>
      </w:pPr>
      <w:r>
        <w:t xml:space="preserve">Kellon, E.M. (2025) Insulin resistance versus </w:t>
      </w:r>
      <w:r w:rsidR="008D21F0">
        <w:t>dysregulation</w:t>
      </w:r>
      <w:r>
        <w:t>-a distinction without a difference. Equine Veterinary Education, 37, 210-215.</w:t>
      </w:r>
    </w:p>
    <w:p w14:paraId="2DC77EE9" w14:textId="2FA0A36D" w:rsidR="00940BEE" w:rsidRDefault="00940BEE" w:rsidP="00940BEE">
      <w:pPr>
        <w:pStyle w:val="ListParagraph"/>
        <w:numPr>
          <w:ilvl w:val="0"/>
          <w:numId w:val="2"/>
        </w:numPr>
      </w:pPr>
      <w:r>
        <w:t>Schneider C. Chemistry and biology of vitamin E. Mol Nutr Food Res 2005:49:7-30.</w:t>
      </w:r>
    </w:p>
    <w:p w14:paraId="6ACFE3B5" w14:textId="027FAC4D" w:rsidR="00940BEE" w:rsidRDefault="00940BEE" w:rsidP="00940BEE">
      <w:pPr>
        <w:pStyle w:val="ListParagraph"/>
        <w:numPr>
          <w:ilvl w:val="0"/>
          <w:numId w:val="2"/>
        </w:numPr>
      </w:pPr>
      <w:r>
        <w:t>Mohammed HO, Divers TJ, Summers BA, et. al. Vitamin E deficiency and risk of equine motor neuron disease. Acta Vet Scand 2007;49:17.</w:t>
      </w:r>
    </w:p>
    <w:p w14:paraId="60DE6E40" w14:textId="28176124" w:rsidR="00940BEE" w:rsidRDefault="00940BEE" w:rsidP="00940BEE">
      <w:pPr>
        <w:pStyle w:val="ListParagraph"/>
        <w:numPr>
          <w:ilvl w:val="0"/>
          <w:numId w:val="2"/>
        </w:numPr>
      </w:pPr>
      <w:r>
        <w:t>Divers TJ, Mohammed HO, Cummings JF, et al. Equine motor neuron disease: Findings in 28 horses and proposal of a pathophysiological mechanism for the disease. Equine Vet J 1994;26:409-415</w:t>
      </w:r>
      <w:r w:rsidR="0037102B">
        <w:t>.</w:t>
      </w:r>
    </w:p>
    <w:p w14:paraId="3D484E3B" w14:textId="77927EF7" w:rsidR="0037102B" w:rsidRDefault="0037102B" w:rsidP="00940BEE">
      <w:pPr>
        <w:pStyle w:val="ListParagraph"/>
        <w:numPr>
          <w:ilvl w:val="0"/>
          <w:numId w:val="2"/>
        </w:numPr>
      </w:pPr>
      <w:r w:rsidRPr="0037102B">
        <w:t xml:space="preserve">Bedford HE, Valberg SJ, Firshman AM, </w:t>
      </w:r>
      <w:r w:rsidR="000A6B0F" w:rsidRPr="0037102B">
        <w:t>et a</w:t>
      </w:r>
      <w:r w:rsidR="000A6B0F">
        <w:t xml:space="preserve">l. </w:t>
      </w:r>
      <w:r>
        <w:t>Histopathologic findings in the sacrocaudalis d dorsalis medialis muscle of horse with vitamin E- responsive muscle atrophy and weakness. J AM Vt Med Assoc 2013;242:1127-1137.</w:t>
      </w:r>
    </w:p>
    <w:p w14:paraId="237579DF" w14:textId="2AA3F084" w:rsidR="00132304" w:rsidRDefault="00132304" w:rsidP="00940BEE">
      <w:pPr>
        <w:pStyle w:val="ListParagraph"/>
        <w:numPr>
          <w:ilvl w:val="0"/>
          <w:numId w:val="2"/>
        </w:numPr>
      </w:pPr>
      <w:r>
        <w:t>NRC. Nutrient Requirements of Horses. 6</w:t>
      </w:r>
      <w:r w:rsidRPr="00132304">
        <w:rPr>
          <w:vertAlign w:val="superscript"/>
        </w:rPr>
        <w:t>th</w:t>
      </w:r>
      <w:r>
        <w:t xml:space="preserve"> ed. Washington DC 2007</w:t>
      </w:r>
      <w:r w:rsidR="00AF680C">
        <w:t xml:space="preserve">7. </w:t>
      </w:r>
    </w:p>
    <w:p w14:paraId="5CD3D875" w14:textId="35BC07F9" w:rsidR="00AF680C" w:rsidRDefault="00AF680C" w:rsidP="00940BEE">
      <w:pPr>
        <w:pStyle w:val="ListParagraph"/>
        <w:numPr>
          <w:ilvl w:val="0"/>
          <w:numId w:val="2"/>
        </w:numPr>
      </w:pPr>
      <w:r w:rsidRPr="00AF680C">
        <w:rPr>
          <w:lang w:val="de-DE"/>
        </w:rPr>
        <w:t>Hess TM, Rexford DK, Hansen M, et al.</w:t>
      </w:r>
      <w:r>
        <w:rPr>
          <w:lang w:val="de-DE"/>
        </w:rPr>
        <w:t xml:space="preserve"> </w:t>
      </w:r>
      <w:r w:rsidRPr="00AF680C">
        <w:t>Effects of two different dietary sou</w:t>
      </w:r>
      <w:r>
        <w:t>rces of omega-3 highly unsaturated fatty acids on insulin sensitivity, and incorporation into the plasma, red blood cel</w:t>
      </w:r>
      <w:r w:rsidR="000A6B0F">
        <w:t>ls</w:t>
      </w:r>
      <w:r>
        <w:t xml:space="preserve"> and muscle cells of horses</w:t>
      </w:r>
      <w:r w:rsidR="006749E0">
        <w:t xml:space="preserve">. </w:t>
      </w:r>
      <w:r w:rsidRPr="00AF680C">
        <w:t>J Anim Sci 2012;90:3023-3031</w:t>
      </w:r>
      <w:r>
        <w:t>.</w:t>
      </w:r>
    </w:p>
    <w:p w14:paraId="7CF63317" w14:textId="6E47B6BC" w:rsidR="00AF680C" w:rsidRDefault="00AF680C" w:rsidP="00940BEE">
      <w:pPr>
        <w:pStyle w:val="ListParagraph"/>
        <w:numPr>
          <w:ilvl w:val="0"/>
          <w:numId w:val="2"/>
        </w:numPr>
      </w:pPr>
      <w:r>
        <w:t>Vineyard KR, Warren LK and Kivipelto J.</w:t>
      </w:r>
      <w:r w:rsidR="000A6B0F">
        <w:t xml:space="preserve"> </w:t>
      </w:r>
      <w:r w:rsidR="000A6B0F" w:rsidRPr="000A6B0F">
        <w:t xml:space="preserve">Effect of dietary omega-3 fatty acid source on plasma and red blood cell membrane composition and immune function in yearling horses </w:t>
      </w:r>
      <w:r>
        <w:t xml:space="preserve"> J</w:t>
      </w:r>
      <w:r w:rsidR="000A6B0F">
        <w:t xml:space="preserve"> </w:t>
      </w:r>
      <w:r>
        <w:t>Anim Sci 2010; 88:248-257</w:t>
      </w:r>
    </w:p>
    <w:p w14:paraId="2C8776DA" w14:textId="379A2472" w:rsidR="00894866" w:rsidRPr="00AF680C" w:rsidRDefault="00894866" w:rsidP="00894866">
      <w:pPr>
        <w:pStyle w:val="ListParagraph"/>
        <w:numPr>
          <w:ilvl w:val="0"/>
          <w:numId w:val="2"/>
        </w:numPr>
      </w:pPr>
      <w:r>
        <w:t>Toribio RE. Magnesium and Disease. In Reed SM, Bayley WM, Sellon DC, editors. Equine internal medicine 3</w:t>
      </w:r>
      <w:r w:rsidRPr="00894866">
        <w:rPr>
          <w:vertAlign w:val="superscript"/>
        </w:rPr>
        <w:t>rd</w:t>
      </w:r>
      <w:r>
        <w:t xml:space="preserve"> edition. St Louis (MO): Saunders; 201</w:t>
      </w:r>
      <w:r w:rsidR="00675F83">
        <w:t>8</w:t>
      </w:r>
      <w:r>
        <w:t xml:space="preserve"> p</w:t>
      </w:r>
      <w:r w:rsidR="00675F83">
        <w:t>1052-1058</w:t>
      </w:r>
      <w:r>
        <w:t>-5.</w:t>
      </w:r>
    </w:p>
    <w:p w14:paraId="15443992" w14:textId="6824FFF5" w:rsidR="00675F83" w:rsidRDefault="00C15316" w:rsidP="00940BEE">
      <w:pPr>
        <w:pStyle w:val="ListParagraph"/>
        <w:numPr>
          <w:ilvl w:val="0"/>
          <w:numId w:val="2"/>
        </w:numPr>
      </w:pPr>
      <w:r>
        <w:t xml:space="preserve">Weglicki WB, Phillips TM, Freedman AM, et al. Magnesium deficiency </w:t>
      </w:r>
      <w:r w:rsidR="008D21F0">
        <w:t>elevates</w:t>
      </w:r>
      <w:r>
        <w:t xml:space="preserve"> circulating level of inflammatory cytokines and endothelin. Mol Cell Biochem. 1992;110:169-173</w:t>
      </w:r>
    </w:p>
    <w:p w14:paraId="54BBF029" w14:textId="62208968" w:rsidR="00C1089E" w:rsidRDefault="00C1089E" w:rsidP="00940BEE">
      <w:pPr>
        <w:pStyle w:val="ListParagraph"/>
        <w:numPr>
          <w:ilvl w:val="0"/>
          <w:numId w:val="2"/>
        </w:numPr>
      </w:pPr>
      <w:r>
        <w:t>Emily Rose, PT, DPT, CERP</w:t>
      </w:r>
      <w:r w:rsidR="00894866">
        <w:t xml:space="preserve"> (personal communication)</w:t>
      </w:r>
    </w:p>
    <w:p w14:paraId="0026E15E" w14:textId="040790D2" w:rsidR="002C53E7" w:rsidRDefault="00503BBA" w:rsidP="00940BEE">
      <w:pPr>
        <w:pStyle w:val="ListParagraph"/>
        <w:numPr>
          <w:ilvl w:val="0"/>
          <w:numId w:val="2"/>
        </w:numPr>
      </w:pPr>
      <w:r w:rsidRPr="00503BBA">
        <w:t>Swanstrom, O.G. 1978. Hyaluronate (hyaluronic acid) and its use, Proc. American Assoc. Equine Pract., 24th annual convention, pp. 345-348.</w:t>
      </w:r>
    </w:p>
    <w:p w14:paraId="7F834719" w14:textId="7E740794" w:rsidR="00477CB4" w:rsidRDefault="00477CB4" w:rsidP="00940BEE">
      <w:pPr>
        <w:pStyle w:val="ListParagraph"/>
        <w:numPr>
          <w:ilvl w:val="0"/>
          <w:numId w:val="2"/>
        </w:numPr>
      </w:pPr>
      <w:r>
        <w:t>Adequan</w:t>
      </w:r>
      <w:r w:rsidR="0098776D">
        <w:t xml:space="preserve"> package </w:t>
      </w:r>
      <w:r w:rsidR="006D3641">
        <w:t>insert.</w:t>
      </w:r>
    </w:p>
    <w:p w14:paraId="562524B4" w14:textId="245E4767" w:rsidR="0098776D" w:rsidRDefault="0098776D" w:rsidP="00940BEE">
      <w:pPr>
        <w:pStyle w:val="ListParagraph"/>
        <w:numPr>
          <w:ilvl w:val="0"/>
          <w:numId w:val="2"/>
        </w:numPr>
      </w:pPr>
      <w:r>
        <w:t>McIlwrath CW, Frisbie DD, Kawcak CE. Evaluation of intramuscularly administered sodium pentosan polysulfate for treatment of experimentally induced osteoarthritis in horses.</w:t>
      </w:r>
      <w:r w:rsidR="0056571D">
        <w:t xml:space="preserve"> AJVR</w:t>
      </w:r>
      <w:r w:rsidR="00D65EAE">
        <w:t xml:space="preserve"> 2012;</w:t>
      </w:r>
      <w:r w:rsidR="0056571D">
        <w:t>73:5 628-633</w:t>
      </w:r>
    </w:p>
    <w:p w14:paraId="4362B1D0" w14:textId="6B86F354" w:rsidR="00D65EAE" w:rsidRDefault="00D65EAE" w:rsidP="001231D7">
      <w:pPr>
        <w:pStyle w:val="ListParagraph"/>
        <w:numPr>
          <w:ilvl w:val="0"/>
          <w:numId w:val="2"/>
        </w:numPr>
      </w:pPr>
      <w:r>
        <w:t xml:space="preserve">McClure S, Peck KN. </w:t>
      </w:r>
      <w:r w:rsidR="001231D7">
        <w:t xml:space="preserve">Clinical Field Study to Evaluate Injectable Pentosan Polysulfate for the Control of Clinical Signs Associated with Osteoarthritis in Horses. </w:t>
      </w:r>
      <w:r w:rsidR="0056571D" w:rsidRPr="0056571D">
        <w:t xml:space="preserve">AAEP proceedings </w:t>
      </w:r>
      <w:r>
        <w:t xml:space="preserve">2022;68: 290-296 </w:t>
      </w:r>
    </w:p>
    <w:p w14:paraId="77B2753E" w14:textId="1611900E" w:rsidR="00121798" w:rsidRDefault="00121798" w:rsidP="00940BEE">
      <w:pPr>
        <w:pStyle w:val="ListParagraph"/>
        <w:numPr>
          <w:ilvl w:val="0"/>
          <w:numId w:val="2"/>
        </w:numPr>
      </w:pPr>
      <w:r>
        <w:t>Mitchell A, Wright G, Sampson SN, et al. Clodronate improves lameness in horses without changing bone turnover markers</w:t>
      </w:r>
      <w:r w:rsidR="006749E0">
        <w:t xml:space="preserve">. </w:t>
      </w:r>
      <w:r>
        <w:t>E</w:t>
      </w:r>
      <w:r w:rsidR="00FC7E2B">
        <w:t>VJ 2019;51: 356-363.</w:t>
      </w:r>
    </w:p>
    <w:p w14:paraId="253CAFCA" w14:textId="4E332E22" w:rsidR="00D65EAE" w:rsidRDefault="00D65EAE" w:rsidP="00D65EAE">
      <w:pPr>
        <w:pStyle w:val="ListParagraph"/>
      </w:pPr>
    </w:p>
    <w:sectPr w:rsidR="00D65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7FA3"/>
    <w:multiLevelType w:val="hybridMultilevel"/>
    <w:tmpl w:val="C8DE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D6AD9"/>
    <w:multiLevelType w:val="hybridMultilevel"/>
    <w:tmpl w:val="EF9E1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663193">
    <w:abstractNumId w:val="0"/>
  </w:num>
  <w:num w:numId="2" w16cid:durableId="439494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33"/>
    <w:rsid w:val="00003C2D"/>
    <w:rsid w:val="0005582F"/>
    <w:rsid w:val="000A6B0F"/>
    <w:rsid w:val="00100FFF"/>
    <w:rsid w:val="001064AA"/>
    <w:rsid w:val="00121798"/>
    <w:rsid w:val="001231D7"/>
    <w:rsid w:val="00132304"/>
    <w:rsid w:val="001A2F2E"/>
    <w:rsid w:val="0022764A"/>
    <w:rsid w:val="002A140A"/>
    <w:rsid w:val="002C53E7"/>
    <w:rsid w:val="002F4869"/>
    <w:rsid w:val="00313EB5"/>
    <w:rsid w:val="00340735"/>
    <w:rsid w:val="0037102B"/>
    <w:rsid w:val="00375371"/>
    <w:rsid w:val="00430306"/>
    <w:rsid w:val="00443B56"/>
    <w:rsid w:val="00477CB4"/>
    <w:rsid w:val="004C3F38"/>
    <w:rsid w:val="004E40E7"/>
    <w:rsid w:val="00503BBA"/>
    <w:rsid w:val="0056571D"/>
    <w:rsid w:val="006205B1"/>
    <w:rsid w:val="00630A4F"/>
    <w:rsid w:val="006557F3"/>
    <w:rsid w:val="00664332"/>
    <w:rsid w:val="006749E0"/>
    <w:rsid w:val="00675F83"/>
    <w:rsid w:val="006B6423"/>
    <w:rsid w:val="006D3641"/>
    <w:rsid w:val="007158BF"/>
    <w:rsid w:val="00786273"/>
    <w:rsid w:val="007B52F7"/>
    <w:rsid w:val="007C5A73"/>
    <w:rsid w:val="00894866"/>
    <w:rsid w:val="008B0D60"/>
    <w:rsid w:val="008D21F0"/>
    <w:rsid w:val="008F43AE"/>
    <w:rsid w:val="00940BEE"/>
    <w:rsid w:val="0098776D"/>
    <w:rsid w:val="009A2625"/>
    <w:rsid w:val="009A5025"/>
    <w:rsid w:val="00A2168C"/>
    <w:rsid w:val="00A64270"/>
    <w:rsid w:val="00AC3D9B"/>
    <w:rsid w:val="00AF680C"/>
    <w:rsid w:val="00B6188D"/>
    <w:rsid w:val="00B86881"/>
    <w:rsid w:val="00BA0733"/>
    <w:rsid w:val="00C0224C"/>
    <w:rsid w:val="00C1089E"/>
    <w:rsid w:val="00C15316"/>
    <w:rsid w:val="00CE1DBF"/>
    <w:rsid w:val="00CE2C00"/>
    <w:rsid w:val="00CF6FFF"/>
    <w:rsid w:val="00D65EAE"/>
    <w:rsid w:val="00EC7FD7"/>
    <w:rsid w:val="00FA05E8"/>
    <w:rsid w:val="00FC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9DCB9"/>
  <w15:chartTrackingRefBased/>
  <w15:docId w15:val="{0CABA963-2284-451B-AB99-C1955D5C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7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7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7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7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7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7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7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7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7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7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7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7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7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8334EC9E7534B9D04158EE127A1D4" ma:contentTypeVersion="14" ma:contentTypeDescription="Create a new document." ma:contentTypeScope="" ma:versionID="dc769cabfbcb837a01ccf181828bb422">
  <xsd:schema xmlns:xsd="http://www.w3.org/2001/XMLSchema" xmlns:xs="http://www.w3.org/2001/XMLSchema" xmlns:p="http://schemas.microsoft.com/office/2006/metadata/properties" xmlns:ns2="665d0bd9-5451-4ace-ab4e-39b5d6780681" xmlns:ns3="5a2711ff-4bc5-41b4-b3b9-585ac0cf55a3" targetNamespace="http://schemas.microsoft.com/office/2006/metadata/properties" ma:root="true" ma:fieldsID="435e0581679019d43f5e4ed399518df7" ns2:_="" ns3:_="">
    <xsd:import namespace="665d0bd9-5451-4ace-ab4e-39b5d6780681"/>
    <xsd:import namespace="5a2711ff-4bc5-41b4-b3b9-585ac0cf55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d0bd9-5451-4ace-ab4e-39b5d6780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ed23af2-e39c-43b6-b404-82eb453e0b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711ff-4bc5-41b4-b3b9-585ac0cf55a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31cf5f0-9258-458b-9b57-37143ce81286}" ma:internalName="TaxCatchAll" ma:showField="CatchAllData" ma:web="5a2711ff-4bc5-41b4-b3b9-585ac0cf55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5d0bd9-5451-4ace-ab4e-39b5d6780681">
      <Terms xmlns="http://schemas.microsoft.com/office/infopath/2007/PartnerControls"/>
    </lcf76f155ced4ddcb4097134ff3c332f>
    <TaxCatchAll xmlns="5a2711ff-4bc5-41b4-b3b9-585ac0cf55a3" xsi:nil="true"/>
  </documentManagement>
</p:properties>
</file>

<file path=customXml/itemProps1.xml><?xml version="1.0" encoding="utf-8"?>
<ds:datastoreItem xmlns:ds="http://schemas.openxmlformats.org/officeDocument/2006/customXml" ds:itemID="{7B048716-B61D-4079-9A1F-FAD88B7F82DC}"/>
</file>

<file path=customXml/itemProps2.xml><?xml version="1.0" encoding="utf-8"?>
<ds:datastoreItem xmlns:ds="http://schemas.openxmlformats.org/officeDocument/2006/customXml" ds:itemID="{B4A188A4-9679-4DD7-BA8A-DB14A2944ACA}"/>
</file>

<file path=customXml/itemProps3.xml><?xml version="1.0" encoding="utf-8"?>
<ds:datastoreItem xmlns:ds="http://schemas.openxmlformats.org/officeDocument/2006/customXml" ds:itemID="{0731A7C4-83A9-47E5-8DC7-A7FCF07EA4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2382</Words>
  <Characters>10700</Characters>
  <Application>Microsoft Office Word</Application>
  <DocSecurity>0</DocSecurity>
  <Lines>167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Langer</dc:creator>
  <cp:keywords/>
  <dc:description/>
  <cp:lastModifiedBy>Todd Gray</cp:lastModifiedBy>
  <cp:revision>2</cp:revision>
  <dcterms:created xsi:type="dcterms:W3CDTF">2025-07-26T19:12:00Z</dcterms:created>
  <dcterms:modified xsi:type="dcterms:W3CDTF">2025-07-26T19:12:00Z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0x0101005218334EC9E7534B9D04158EE127A1D4</vt:lpwstr>
  </property>
</Properties>
</file>