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9490" w14:textId="150E45F0" w:rsidR="00CE2C00" w:rsidRPr="00A526E6" w:rsidRDefault="00D06E46" w:rsidP="00DB08FE">
      <w:pPr>
        <w:jc w:val="center"/>
        <w:rPr>
          <w:b/>
          <w:bCs/>
        </w:rPr>
      </w:pPr>
      <w:r w:rsidRPr="00A526E6">
        <w:rPr>
          <w:b/>
          <w:bCs/>
        </w:rPr>
        <w:t>Localizing Lameness: The Role of Imaging</w:t>
      </w:r>
    </w:p>
    <w:p w14:paraId="77EF6DB8" w14:textId="0F159003" w:rsidR="00BA0733" w:rsidRPr="00A526E6" w:rsidRDefault="00BA0733" w:rsidP="00DB08FE">
      <w:pPr>
        <w:jc w:val="center"/>
        <w:rPr>
          <w:b/>
          <w:bCs/>
        </w:rPr>
      </w:pPr>
      <w:r w:rsidRPr="00A526E6">
        <w:rPr>
          <w:b/>
          <w:bCs/>
        </w:rPr>
        <w:t>Douglas L. Langer, DVM, MS</w:t>
      </w:r>
    </w:p>
    <w:p w14:paraId="7D11BF89" w14:textId="77777777" w:rsidR="00543F75" w:rsidRDefault="00543F75"/>
    <w:p w14:paraId="3ADB4C8E" w14:textId="3F1528C3" w:rsidR="00543F75" w:rsidRDefault="00543F75">
      <w:r>
        <w:t>Over the last 30</w:t>
      </w:r>
      <w:r w:rsidR="004876AA">
        <w:t xml:space="preserve"> years</w:t>
      </w:r>
      <w:r>
        <w:t xml:space="preserve"> </w:t>
      </w:r>
      <w:r w:rsidR="002C62C5">
        <w:t xml:space="preserve">advancements in </w:t>
      </w:r>
      <w:r>
        <w:t xml:space="preserve">diagnostic imaging </w:t>
      </w:r>
      <w:r w:rsidR="003F707A">
        <w:t>have</w:t>
      </w:r>
      <w:r w:rsidR="002C62C5">
        <w:t xml:space="preserve"> dramatically reshaped our </w:t>
      </w:r>
      <w:r w:rsidR="003F707A">
        <w:t>understanding</w:t>
      </w:r>
      <w:r w:rsidR="002C62C5">
        <w:t xml:space="preserve"> of equine lameness</w:t>
      </w:r>
      <w:r w:rsidR="004876AA">
        <w:t xml:space="preserve">. Advanced diagnostic </w:t>
      </w:r>
      <w:r w:rsidR="002C62C5">
        <w:t>imaging modalities from the human field including MRI, CT and PET scans, are becoming more readily available in the veterinary marketplace</w:t>
      </w:r>
      <w:r w:rsidR="00BA76B7">
        <w:t xml:space="preserve">. </w:t>
      </w:r>
      <w:r w:rsidR="00D947F7">
        <w:t>At the same time advancements in medical equipment mobility ha</w:t>
      </w:r>
      <w:r w:rsidR="00607DA0">
        <w:t>ve</w:t>
      </w:r>
      <w:r w:rsidR="00D947F7">
        <w:t xml:space="preserve"> allowed  ambulatory veterinarians to deliver </w:t>
      </w:r>
      <w:r w:rsidR="00BA76B7">
        <w:t>the majority</w:t>
      </w:r>
      <w:r w:rsidR="000E0F70">
        <w:t xml:space="preserve"> of </w:t>
      </w:r>
      <w:r w:rsidR="00D947F7">
        <w:t xml:space="preserve"> these services  directly to their clients </w:t>
      </w:r>
      <w:r w:rsidR="000E0F70">
        <w:t>rather than</w:t>
      </w:r>
      <w:r w:rsidR="00D947F7">
        <w:t xml:space="preserve"> </w:t>
      </w:r>
      <w:r w:rsidR="000E0F70">
        <w:t>needing</w:t>
      </w:r>
      <w:r w:rsidR="00D947F7">
        <w:t xml:space="preserve"> to refer</w:t>
      </w:r>
      <w:r w:rsidR="00BA76B7">
        <w:t xml:space="preserve"> elsewhere</w:t>
      </w:r>
      <w:r w:rsidR="00746619">
        <w:t xml:space="preserve">. </w:t>
      </w:r>
      <w:r w:rsidR="002C62C5">
        <w:t>To keep up with these advancements</w:t>
      </w:r>
      <w:r w:rsidR="002B73DE">
        <w:t xml:space="preserve">, as veterinarians,  we rely </w:t>
      </w:r>
      <w:r w:rsidR="002C62C5">
        <w:t xml:space="preserve">heavily on both </w:t>
      </w:r>
      <w:r w:rsidR="000E0F70">
        <w:t>online</w:t>
      </w:r>
      <w:r w:rsidR="002C62C5">
        <w:t xml:space="preserve"> and in person continuing </w:t>
      </w:r>
      <w:r w:rsidR="002B73DE">
        <w:t>educational resources to meet the</w:t>
      </w:r>
      <w:r w:rsidR="000E0F70">
        <w:t>se</w:t>
      </w:r>
      <w:r w:rsidR="002B73DE">
        <w:t xml:space="preserve"> needs</w:t>
      </w:r>
      <w:r w:rsidR="00BA76B7">
        <w:t xml:space="preserve">. </w:t>
      </w:r>
      <w:r w:rsidR="000E0F70">
        <w:t xml:space="preserve">In the process </w:t>
      </w:r>
      <w:r w:rsidR="00BA76B7">
        <w:t>a fantastic opportunity</w:t>
      </w:r>
      <w:r w:rsidR="002B73DE">
        <w:t xml:space="preserve"> </w:t>
      </w:r>
      <w:r w:rsidR="003F707A">
        <w:t>for</w:t>
      </w:r>
      <w:r w:rsidR="002B73DE">
        <w:t xml:space="preserve"> collaboration, mentorship, and networking</w:t>
      </w:r>
      <w:r w:rsidR="00D947F7">
        <w:t xml:space="preserve"> with colleagues</w:t>
      </w:r>
      <w:r w:rsidR="000E0F70">
        <w:t xml:space="preserve"> is created</w:t>
      </w:r>
      <w:r w:rsidR="00BA76B7">
        <w:t xml:space="preserve">. </w:t>
      </w:r>
      <w:r w:rsidR="00607DA0">
        <w:t>The net effect has been a dramatic increase in</w:t>
      </w:r>
      <w:r w:rsidR="00D947F7">
        <w:t xml:space="preserve"> the cost</w:t>
      </w:r>
      <w:r w:rsidR="003F707A">
        <w:t xml:space="preserve"> of</w:t>
      </w:r>
      <w:r w:rsidR="00D947F7">
        <w:t xml:space="preserve"> </w:t>
      </w:r>
      <w:r w:rsidR="002E1A09">
        <w:t xml:space="preserve">the </w:t>
      </w:r>
      <w:r w:rsidR="00D947F7">
        <w:t>veterinary services we provide</w:t>
      </w:r>
      <w:r w:rsidR="002E1A09">
        <w:t xml:space="preserve"> for advanced lameness work</w:t>
      </w:r>
      <w:r w:rsidR="00D947F7">
        <w:t xml:space="preserve">. </w:t>
      </w:r>
      <w:r w:rsidR="00607DA0">
        <w:t>Despite this</w:t>
      </w:r>
      <w:r w:rsidR="00941F4F">
        <w:t>,</w:t>
      </w:r>
      <w:r w:rsidR="00607DA0">
        <w:t xml:space="preserve"> c</w:t>
      </w:r>
      <w:r w:rsidR="00D947F7">
        <w:t>lients are</w:t>
      </w:r>
      <w:r w:rsidR="004876AA">
        <w:t xml:space="preserve"> aware of these advanced</w:t>
      </w:r>
      <w:r w:rsidR="009D63A6">
        <w:t xml:space="preserve"> diagnostic</w:t>
      </w:r>
      <w:r w:rsidR="004876AA">
        <w:t xml:space="preserve"> tests/imaging modalities</w:t>
      </w:r>
      <w:r w:rsidR="009D63A6">
        <w:t xml:space="preserve"> and, when needed, want access to </w:t>
      </w:r>
      <w:r w:rsidR="004876AA">
        <w:t>them</w:t>
      </w:r>
      <w:r w:rsidR="00BA76B7">
        <w:t xml:space="preserve">. </w:t>
      </w:r>
      <w:r w:rsidR="000E0F70">
        <w:t>They</w:t>
      </w:r>
      <w:r w:rsidR="009D63A6">
        <w:t xml:space="preserve"> look to their local veterinarian to </w:t>
      </w:r>
      <w:r w:rsidR="000E0F70">
        <w:t xml:space="preserve">provide </w:t>
      </w:r>
      <w:r w:rsidR="009D63A6">
        <w:t xml:space="preserve">guide in these decisions. </w:t>
      </w:r>
      <w:r w:rsidR="00607DA0">
        <w:t>In addition, m</w:t>
      </w:r>
      <w:r w:rsidR="000E0F70">
        <w:t>ultiple veterinarians may see a given horse during their competition season</w:t>
      </w:r>
      <w:r w:rsidR="002E1A09">
        <w:t xml:space="preserve">. </w:t>
      </w:r>
      <w:r w:rsidR="000E0F70">
        <w:t xml:space="preserve">The horse and their owner benefit greatly when veterinarians </w:t>
      </w:r>
      <w:r w:rsidR="00E825C6">
        <w:t>function as</w:t>
      </w:r>
      <w:r w:rsidR="000E0F70">
        <w:t xml:space="preserve"> their advocate </w:t>
      </w:r>
      <w:r w:rsidR="00607DA0">
        <w:t>to</w:t>
      </w:r>
      <w:r w:rsidR="000E0F70">
        <w:t xml:space="preserve"> maintain continuity of care whenever possible</w:t>
      </w:r>
      <w:r w:rsidR="00D947F7">
        <w:t>.</w:t>
      </w:r>
    </w:p>
    <w:p w14:paraId="469A8EE8" w14:textId="23C57710" w:rsidR="00543F75" w:rsidRDefault="00543F75">
      <w:r>
        <w:t>During this lecture we will review where each of these diagnostics tests</w:t>
      </w:r>
      <w:r w:rsidR="000E0F70">
        <w:t xml:space="preserve"> (Radiographs, ultrasound, CT, MRI, Nuclear Scintigraphy and PET scans)</w:t>
      </w:r>
      <w:r>
        <w:t xml:space="preserve"> fit into the evaluation and treatment </w:t>
      </w:r>
      <w:r w:rsidR="00607DA0">
        <w:t>of</w:t>
      </w:r>
      <w:r w:rsidR="000E0F70">
        <w:t xml:space="preserve"> lame and</w:t>
      </w:r>
      <w:r w:rsidR="00607DA0">
        <w:t>/or</w:t>
      </w:r>
      <w:r w:rsidR="000E0F70">
        <w:t xml:space="preserve"> underperforming horses</w:t>
      </w:r>
      <w:r w:rsidR="00746619">
        <w:t xml:space="preserve">. </w:t>
      </w:r>
      <w:r w:rsidR="00D947F7">
        <w:t xml:space="preserve">Each diagnostic test </w:t>
      </w:r>
      <w:r w:rsidR="00F149EC">
        <w:t xml:space="preserve">performed has its own advantages, </w:t>
      </w:r>
      <w:r w:rsidR="00E825C6">
        <w:t>disadvantages,</w:t>
      </w:r>
      <w:r w:rsidR="00F149EC">
        <w:t xml:space="preserve"> and associated cost</w:t>
      </w:r>
      <w:r w:rsidR="00D947F7">
        <w:t xml:space="preserve">. Digital radiographs and ultrasound are </w:t>
      </w:r>
      <w:r w:rsidR="00607DA0">
        <w:t xml:space="preserve">readily available </w:t>
      </w:r>
      <w:r w:rsidR="00D947F7">
        <w:t>standard equipment when working on horses</w:t>
      </w:r>
      <w:r w:rsidR="00607DA0">
        <w:t xml:space="preserve"> serving as first line diagnostic tools</w:t>
      </w:r>
      <w:r w:rsidR="00746619">
        <w:t xml:space="preserve">. </w:t>
      </w:r>
      <w:r w:rsidR="00D947F7">
        <w:t>A thorough knowledge and training for the use of th</w:t>
      </w:r>
      <w:r w:rsidR="00F149EC">
        <w:t>is</w:t>
      </w:r>
      <w:r w:rsidR="00D947F7">
        <w:t xml:space="preserve"> equipment </w:t>
      </w:r>
      <w:r w:rsidR="00D8339B">
        <w:t>in the field is your first line of defense in reaching an accurate diagnosis</w:t>
      </w:r>
      <w:r w:rsidR="002E1A09">
        <w:t xml:space="preserve">. </w:t>
      </w:r>
      <w:r w:rsidR="00D8339B">
        <w:t xml:space="preserve">This requires continued growth </w:t>
      </w:r>
      <w:r w:rsidR="00F149EC">
        <w:t xml:space="preserve">in use and understanding </w:t>
      </w:r>
      <w:r w:rsidR="00D8339B">
        <w:t xml:space="preserve">as we </w:t>
      </w:r>
      <w:r w:rsidR="00F149EC">
        <w:t xml:space="preserve">corelate </w:t>
      </w:r>
      <w:r w:rsidR="00D8339B">
        <w:t xml:space="preserve"> certain radiographic and ultrasound changes with what we see on our other imaging modalities</w:t>
      </w:r>
      <w:r w:rsidR="002E1A09">
        <w:t xml:space="preserve">. </w:t>
      </w:r>
      <w:r w:rsidR="00607DA0">
        <w:t>With MRI we have a choice between high and low field systems. H</w:t>
      </w:r>
      <w:r w:rsidR="00D8339B">
        <w:t xml:space="preserve">igh field MRI gives you a larger field of view and higher image resolution </w:t>
      </w:r>
      <w:r w:rsidR="00607DA0">
        <w:t>while adding the</w:t>
      </w:r>
      <w:r w:rsidR="00D8339B">
        <w:t xml:space="preserve"> risk of </w:t>
      </w:r>
      <w:r w:rsidR="00607DA0">
        <w:t>general anesthesia</w:t>
      </w:r>
      <w:r w:rsidR="00F149EC">
        <w:t>. L</w:t>
      </w:r>
      <w:r w:rsidR="00D8339B">
        <w:t>ow field MRI</w:t>
      </w:r>
      <w:r w:rsidR="00F149EC">
        <w:t xml:space="preserve">, in contrast can be performed under light sedation </w:t>
      </w:r>
      <w:r w:rsidR="00607DA0">
        <w:t>while providing images of</w:t>
      </w:r>
      <w:r w:rsidR="00F149EC">
        <w:t xml:space="preserve"> lower resolution </w:t>
      </w:r>
      <w:r w:rsidR="00607DA0">
        <w:t>images that are susceptible</w:t>
      </w:r>
      <w:r w:rsidR="00F149EC">
        <w:t xml:space="preserve"> motion artifacts</w:t>
      </w:r>
      <w:r w:rsidR="00E825C6">
        <w:t xml:space="preserve">. </w:t>
      </w:r>
      <w:r w:rsidR="00607DA0">
        <w:t xml:space="preserve">Motion correction </w:t>
      </w:r>
      <w:r w:rsidR="00941F4F">
        <w:t>software</w:t>
      </w:r>
      <w:r w:rsidR="00607DA0">
        <w:t xml:space="preserve"> associated with standing MRI has led to dramatic improvement in overall image quality. </w:t>
      </w:r>
      <w:r w:rsidR="00D8339B">
        <w:t>With CT</w:t>
      </w:r>
      <w:r w:rsidR="003F707A">
        <w:t>,</w:t>
      </w:r>
      <w:r w:rsidR="00D8339B">
        <w:t xml:space="preserve"> multiple different systems now </w:t>
      </w:r>
      <w:r w:rsidR="003F707A">
        <w:t xml:space="preserve">available </w:t>
      </w:r>
      <w:r w:rsidR="00D8339B">
        <w:t>are all capable of image acquisition in a matter of minutes</w:t>
      </w:r>
      <w:r w:rsidR="002E1A09">
        <w:t xml:space="preserve">. </w:t>
      </w:r>
      <w:r w:rsidR="003F707A">
        <w:t>Images generated have</w:t>
      </w:r>
      <w:r w:rsidR="00D8339B">
        <w:t xml:space="preserve"> great</w:t>
      </w:r>
      <w:r w:rsidR="003F707A">
        <w:t xml:space="preserve"> three-dimensional</w:t>
      </w:r>
      <w:r w:rsidR="00D8339B">
        <w:t xml:space="preserve"> bone detail but</w:t>
      </w:r>
      <w:r w:rsidR="002E1A09">
        <w:t xml:space="preserve"> lack</w:t>
      </w:r>
      <w:r w:rsidR="00D8339B">
        <w:t xml:space="preserve"> </w:t>
      </w:r>
      <w:r w:rsidR="002E1A09">
        <w:t>valuable information</w:t>
      </w:r>
      <w:r w:rsidR="00D8339B">
        <w:t xml:space="preserve"> on </w:t>
      </w:r>
      <w:r w:rsidR="003F707A">
        <w:t>activity within bone and soft tissue</w:t>
      </w:r>
      <w:r w:rsidR="00E825C6">
        <w:t xml:space="preserve">. </w:t>
      </w:r>
      <w:r w:rsidR="00365B67">
        <w:t>I</w:t>
      </w:r>
      <w:r w:rsidR="002E1A09">
        <w:t>n contrast</w:t>
      </w:r>
      <w:r w:rsidR="00D8339B">
        <w:t xml:space="preserve"> MRI</w:t>
      </w:r>
      <w:r w:rsidR="004D29A4">
        <w:t xml:space="preserve"> and </w:t>
      </w:r>
      <w:r w:rsidR="002E1A09">
        <w:t>PET readily show</w:t>
      </w:r>
      <w:r w:rsidR="00365B67">
        <w:t xml:space="preserve"> bone and soft tissue detail lending themselves as complimentary imaging modalities</w:t>
      </w:r>
      <w:r w:rsidR="002E1A09">
        <w:t xml:space="preserve">. </w:t>
      </w:r>
      <w:r w:rsidR="00D8339B">
        <w:t xml:space="preserve">We will discuss the </w:t>
      </w:r>
      <w:r w:rsidR="00D8339B">
        <w:lastRenderedPageBreak/>
        <w:t>differences</w:t>
      </w:r>
      <w:r w:rsidR="003F707A">
        <w:t>, including bore diameter, standing vs general anesthesia and soft tissue detail,</w:t>
      </w:r>
      <w:r w:rsidR="00D8339B">
        <w:t xml:space="preserve"> </w:t>
      </w:r>
      <w:r w:rsidR="003F707A">
        <w:t>between these</w:t>
      </w:r>
      <w:r w:rsidR="00D8339B">
        <w:t xml:space="preserve"> systems which may determine where an individual patient </w:t>
      </w:r>
      <w:r w:rsidR="004D29A4">
        <w:t xml:space="preserve">goes for further testing. </w:t>
      </w:r>
      <w:r w:rsidR="00D8339B">
        <w:t>With Nuclear Medicine we have traditional Nuclear Scintigraphy</w:t>
      </w:r>
      <w:r w:rsidR="00365B67">
        <w:t xml:space="preserve"> (Bone Scan)</w:t>
      </w:r>
      <w:r w:rsidR="00D8339B">
        <w:t xml:space="preserve"> </w:t>
      </w:r>
      <w:r w:rsidR="00956F69">
        <w:t>which use</w:t>
      </w:r>
      <w:r w:rsidR="00D90D95">
        <w:t>s</w:t>
      </w:r>
      <w:r w:rsidR="00956F69">
        <w:t xml:space="preserve"> technetium</w:t>
      </w:r>
      <w:r w:rsidR="00956F69" w:rsidRPr="00956F69">
        <w:rPr>
          <w:vertAlign w:val="superscript"/>
        </w:rPr>
        <w:t>99</w:t>
      </w:r>
      <w:r w:rsidR="00D90D95">
        <w:t xml:space="preserve"> </w:t>
      </w:r>
      <w:r w:rsidR="00365B67">
        <w:t>to give</w:t>
      </w:r>
      <w:r w:rsidR="00D90D95">
        <w:t xml:space="preserve"> an overall body view of bone activity/turnover </w:t>
      </w:r>
      <w:r w:rsidR="00C23E91">
        <w:t>while allowing only</w:t>
      </w:r>
      <w:r w:rsidR="00BA76B7">
        <w:t xml:space="preserve"> a</w:t>
      </w:r>
      <w:r w:rsidR="00D90D95">
        <w:t xml:space="preserve"> limited </w:t>
      </w:r>
      <w:r w:rsidR="00BA76B7">
        <w:t xml:space="preserve">amount </w:t>
      </w:r>
      <w:r w:rsidR="00D90D95">
        <w:t>soft tissue information</w:t>
      </w:r>
      <w:r w:rsidR="002E1A09">
        <w:t xml:space="preserve">. </w:t>
      </w:r>
      <w:r w:rsidR="00C23E91">
        <w:t xml:space="preserve">The </w:t>
      </w:r>
      <w:r w:rsidR="00941F4F">
        <w:t>whole-body</w:t>
      </w:r>
      <w:r w:rsidR="00C23E91">
        <w:t xml:space="preserve"> bone scan is a great screening tool in the poorly differentiated </w:t>
      </w:r>
      <w:r w:rsidR="00365B67">
        <w:t>lameness</w:t>
      </w:r>
      <w:r w:rsidR="00BA76B7">
        <w:t xml:space="preserve">. </w:t>
      </w:r>
      <w:r w:rsidR="00365B67">
        <w:t xml:space="preserve">The only </w:t>
      </w:r>
      <w:r w:rsidR="00941F4F">
        <w:t>drawbacks</w:t>
      </w:r>
      <w:r w:rsidR="00365B67">
        <w:t xml:space="preserve"> are limited image detail of areas of concern along with</w:t>
      </w:r>
      <w:r w:rsidR="00365B67" w:rsidRPr="00365B67">
        <w:t xml:space="preserve"> </w:t>
      </w:r>
      <w:r w:rsidR="00365B67">
        <w:t>the radioactivity from Te</w:t>
      </w:r>
      <w:r w:rsidR="00365B67" w:rsidRPr="004D29A4">
        <w:rPr>
          <w:vertAlign w:val="superscript"/>
        </w:rPr>
        <w:t>99</w:t>
      </w:r>
      <w:r w:rsidR="00365B67">
        <w:t xml:space="preserve"> requiring </w:t>
      </w:r>
      <w:r w:rsidR="00E825C6">
        <w:t>a brief period</w:t>
      </w:r>
      <w:r w:rsidR="00365B67">
        <w:t xml:space="preserve"> of isolation</w:t>
      </w:r>
      <w:r w:rsidR="002E1A09">
        <w:t xml:space="preserve">. </w:t>
      </w:r>
      <w:r w:rsidR="00D90D95">
        <w:t xml:space="preserve">PET (positron emission tomography), in contrast, </w:t>
      </w:r>
      <w:r w:rsidR="00365B67">
        <w:t xml:space="preserve">can only image limbs and </w:t>
      </w:r>
      <w:r w:rsidR="00D90D95">
        <w:t xml:space="preserve">relies on </w:t>
      </w:r>
      <w:r w:rsidR="00365B67">
        <w:t xml:space="preserve">the use of </w:t>
      </w:r>
      <w:r w:rsidR="00D90D95">
        <w:t>two different fluorine compounds to differentiate bone and soft tissue activity</w:t>
      </w:r>
      <w:r w:rsidR="00C23E91">
        <w:t>.</w:t>
      </w:r>
      <w:r w:rsidR="002E1A09">
        <w:t xml:space="preserve"> The PET</w:t>
      </w:r>
      <w:r w:rsidR="00E825C6">
        <w:t xml:space="preserve"> three dimensional multiplanar</w:t>
      </w:r>
      <w:r w:rsidR="002E1A09">
        <w:t xml:space="preserve"> image</w:t>
      </w:r>
      <w:r w:rsidR="00C23E91">
        <w:t xml:space="preserve">s </w:t>
      </w:r>
      <w:r w:rsidR="00365B67">
        <w:t xml:space="preserve">are spatially correct and </w:t>
      </w:r>
      <w:r w:rsidR="00E825C6">
        <w:t>can be combined with the</w:t>
      </w:r>
      <w:r w:rsidR="00D90D95">
        <w:t xml:space="preserve"> CT and MRI images to help </w:t>
      </w:r>
      <w:r w:rsidR="00C23E91">
        <w:t>clarify</w:t>
      </w:r>
      <w:r w:rsidR="004D29A4">
        <w:t xml:space="preserve"> the </w:t>
      </w:r>
      <w:r w:rsidR="00E825C6">
        <w:t>source</w:t>
      </w:r>
      <w:r w:rsidR="00D90D95">
        <w:t xml:space="preserve"> of lameness</w:t>
      </w:r>
      <w:r w:rsidR="00C23E91">
        <w:t>, particularly when multiple areas of potential concern are identified</w:t>
      </w:r>
      <w:r w:rsidR="002E1A09">
        <w:t xml:space="preserve">. </w:t>
      </w:r>
      <w:r w:rsidR="00D90D95">
        <w:t xml:space="preserve">This is a </w:t>
      </w:r>
      <w:r w:rsidR="003F707A">
        <w:t>rapid</w:t>
      </w:r>
      <w:r w:rsidR="00D90D95">
        <w:t xml:space="preserve"> procedure that does not have the radiation isolation issues noted with Te</w:t>
      </w:r>
      <w:r w:rsidR="00D90D95" w:rsidRPr="00D90D95">
        <w:rPr>
          <w:vertAlign w:val="superscript"/>
        </w:rPr>
        <w:t>99</w:t>
      </w:r>
      <w:r w:rsidR="003F707A">
        <w:t xml:space="preserve">. </w:t>
      </w:r>
      <w:r w:rsidR="00F9251E">
        <w:t xml:space="preserve">Along with this we will </w:t>
      </w:r>
      <w:r w:rsidR="003F707A">
        <w:t>review</w:t>
      </w:r>
      <w:r w:rsidR="00F9251E">
        <w:t xml:space="preserve"> what we have learned from our advanced modalities to improve radiographic and ultrasonographic skills in practice</w:t>
      </w:r>
      <w:r w:rsidR="003F707A">
        <w:t xml:space="preserve">. </w:t>
      </w:r>
      <w:r w:rsidR="004D29A4">
        <w:t>The references</w:t>
      </w:r>
      <w:r w:rsidR="003F707A">
        <w:t xml:space="preserve"> </w:t>
      </w:r>
      <w:r w:rsidR="004D29A4">
        <w:t>listed below help to</w:t>
      </w:r>
      <w:r w:rsidR="00F9251E">
        <w:t xml:space="preserve"> </w:t>
      </w:r>
      <w:r w:rsidR="004D29A4">
        <w:t>summarize</w:t>
      </w:r>
      <w:r w:rsidR="00F9251E">
        <w:t xml:space="preserve"> these findings as an aid in practice</w:t>
      </w:r>
      <w:r w:rsidR="008B436D">
        <w:t>.</w:t>
      </w:r>
      <w:r w:rsidR="008B436D" w:rsidRPr="008B436D">
        <w:rPr>
          <w:vertAlign w:val="superscript"/>
        </w:rPr>
        <w:t>1-14</w:t>
      </w:r>
      <w:r w:rsidR="00F9251E">
        <w:t xml:space="preserve"> We will tie </w:t>
      </w:r>
      <w:r w:rsidR="00341C8B">
        <w:t>this together as we review</w:t>
      </w:r>
      <w:r w:rsidR="00F9251E">
        <w:t xml:space="preserve"> clinical cases</w:t>
      </w:r>
      <w:r w:rsidR="00341C8B">
        <w:t xml:space="preserve">, the decision-making process </w:t>
      </w:r>
      <w:r w:rsidR="00F9251E">
        <w:t>during the lameness evaluation</w:t>
      </w:r>
      <w:r w:rsidR="00341C8B">
        <w:t>, along with additional diagnostics and treatment performed</w:t>
      </w:r>
      <w:r w:rsidR="00F9251E">
        <w:t xml:space="preserve">. </w:t>
      </w:r>
      <w:r w:rsidR="00DB7886">
        <w:t xml:space="preserve">For you to get the most out of this </w:t>
      </w:r>
      <w:r w:rsidR="00341C8B">
        <w:t>presentation,</w:t>
      </w:r>
      <w:r w:rsidR="00DB7886">
        <w:t xml:space="preserve"> be ready to ask questions and give input on any </w:t>
      </w:r>
      <w:r w:rsidR="004D29A4">
        <w:t xml:space="preserve">individual </w:t>
      </w:r>
      <w:r w:rsidR="002E1A09">
        <w:t>experience</w:t>
      </w:r>
      <w:r w:rsidR="00DB7886">
        <w:t xml:space="preserve"> you may have had.</w:t>
      </w:r>
    </w:p>
    <w:p w14:paraId="44E5555F" w14:textId="39158B33" w:rsidR="00F9251E" w:rsidRPr="00A526E6" w:rsidRDefault="00AE13D9">
      <w:pPr>
        <w:rPr>
          <w:b/>
          <w:bCs/>
        </w:rPr>
      </w:pPr>
      <w:r w:rsidRPr="00A526E6">
        <w:rPr>
          <w:b/>
          <w:bCs/>
        </w:rPr>
        <w:t>References</w:t>
      </w:r>
    </w:p>
    <w:p w14:paraId="6748F92B" w14:textId="58DF32A7" w:rsidR="00AE13D9" w:rsidRDefault="00AE13D9" w:rsidP="00AE13D9">
      <w:pPr>
        <w:pStyle w:val="ListParagraph"/>
        <w:numPr>
          <w:ilvl w:val="0"/>
          <w:numId w:val="1"/>
        </w:numPr>
      </w:pPr>
      <w:r>
        <w:t>Puchalski SM. Radiology, Tips to up your game: How CT/MRI has informed radiograph interpretation. AAEP Proceedings; 2024;70:259-264.</w:t>
      </w:r>
    </w:p>
    <w:p w14:paraId="20003074" w14:textId="77777777" w:rsidR="00997A19" w:rsidRDefault="00997A19" w:rsidP="00997A19">
      <w:pPr>
        <w:pStyle w:val="ListParagraph"/>
        <w:numPr>
          <w:ilvl w:val="0"/>
          <w:numId w:val="1"/>
        </w:numPr>
      </w:pPr>
      <w:r>
        <w:t>Graham JL. Using complementary radiographic view of the metacarpophalangeal/metatarsophalangeal (fetlock) joints in the sport horse. AAEP Proceedings. 2024;70:362-366.</w:t>
      </w:r>
    </w:p>
    <w:p w14:paraId="75F45BC1" w14:textId="7A890EA4" w:rsidR="00AE13D9" w:rsidRDefault="00AE13D9" w:rsidP="00AE13D9">
      <w:pPr>
        <w:pStyle w:val="ListParagraph"/>
        <w:numPr>
          <w:ilvl w:val="0"/>
          <w:numId w:val="1"/>
        </w:numPr>
      </w:pPr>
      <w:r>
        <w:t>Kelleher M. How to optimize lesion detection: fetlock imaging decisions</w:t>
      </w:r>
      <w:r w:rsidR="004D0584">
        <w:t>. 2024;70:359-361.</w:t>
      </w:r>
    </w:p>
    <w:p w14:paraId="07075312" w14:textId="77777777" w:rsidR="00997A19" w:rsidRDefault="00997A19" w:rsidP="00997A19">
      <w:pPr>
        <w:pStyle w:val="ListParagraph"/>
        <w:numPr>
          <w:ilvl w:val="0"/>
          <w:numId w:val="1"/>
        </w:numPr>
      </w:pPr>
      <w:r>
        <w:t>Ros KB, Doveren A, Dreesen C, et al. Radiological methods for the imaging of congenital malformations of C6-T1,  the first and second sternal ribs and development of a classification system, demonstrated in warmblood horses. Animals. 2023;13:3732. p1-23.</w:t>
      </w:r>
    </w:p>
    <w:p w14:paraId="6EFE38DD" w14:textId="71E743F3" w:rsidR="00997A19" w:rsidRDefault="00997A19" w:rsidP="00997A19">
      <w:pPr>
        <w:pStyle w:val="ListParagraph"/>
        <w:numPr>
          <w:ilvl w:val="0"/>
          <w:numId w:val="1"/>
        </w:numPr>
      </w:pPr>
      <w:r>
        <w:t>Manzi</w:t>
      </w:r>
      <w:r w:rsidR="008B436D">
        <w:t xml:space="preserve"> T. How to optimize lesion detection on equine cervical vertebral column radiographs. AAEP Proceedings. 2024;70:385-391.</w:t>
      </w:r>
    </w:p>
    <w:p w14:paraId="076D7405" w14:textId="710AAA5D" w:rsidR="008B436D" w:rsidRDefault="008B436D" w:rsidP="00997A19">
      <w:pPr>
        <w:pStyle w:val="ListParagraph"/>
        <w:numPr>
          <w:ilvl w:val="0"/>
          <w:numId w:val="1"/>
        </w:numPr>
      </w:pPr>
      <w:r>
        <w:t>Aarsvold S. How to incorporate computed tomography when imaging the cervical spine. AAEP Proceedings. 2024;70:392-397.</w:t>
      </w:r>
    </w:p>
    <w:p w14:paraId="7BC7C0BD" w14:textId="33D89E1A" w:rsidR="00AE13D9" w:rsidRDefault="00AE13D9" w:rsidP="00AE13D9">
      <w:pPr>
        <w:pStyle w:val="ListParagraph"/>
        <w:numPr>
          <w:ilvl w:val="0"/>
          <w:numId w:val="1"/>
        </w:numPr>
      </w:pPr>
      <w:r>
        <w:t>Barrett MF</w:t>
      </w:r>
      <w:r w:rsidR="004D0584">
        <w:t>.</w:t>
      </w:r>
      <w:r>
        <w:t xml:space="preserve"> A review of normal anatomy and variants commonly mistaken for pathology in equine musculoskeletal ultrasound. AAEP Proceedings;70:476-486.</w:t>
      </w:r>
    </w:p>
    <w:p w14:paraId="5FE5AF2B" w14:textId="04E7E1F4" w:rsidR="00997A19" w:rsidRDefault="00997A19" w:rsidP="00997A19">
      <w:pPr>
        <w:pStyle w:val="ListParagraph"/>
        <w:numPr>
          <w:ilvl w:val="0"/>
          <w:numId w:val="1"/>
        </w:numPr>
      </w:pPr>
      <w:r>
        <w:t xml:space="preserve">Werpy N. Ultrasound, tips to up your game: </w:t>
      </w:r>
      <w:r w:rsidR="00746619">
        <w:t>h</w:t>
      </w:r>
      <w:r>
        <w:t>ow computer tomography and magnetic resonance imaging have improved ultrasound interpretation. AAEP Proceedings. 2024;70:247-252.</w:t>
      </w:r>
    </w:p>
    <w:p w14:paraId="6E0F6376" w14:textId="01E22C13" w:rsidR="00AE13D9" w:rsidRDefault="00AE13D9" w:rsidP="00AE13D9">
      <w:pPr>
        <w:pStyle w:val="ListParagraph"/>
        <w:numPr>
          <w:ilvl w:val="0"/>
          <w:numId w:val="1"/>
        </w:numPr>
      </w:pPr>
      <w:r>
        <w:t xml:space="preserve">Biscoe B. Low-field standing MRI: </w:t>
      </w:r>
      <w:r w:rsidR="00746619">
        <w:t>w</w:t>
      </w:r>
      <w:r>
        <w:t xml:space="preserve">hen to choose it and how do you know that is a lesion? </w:t>
      </w:r>
      <w:r w:rsidR="00746619">
        <w:t>c</w:t>
      </w:r>
      <w:r>
        <w:t xml:space="preserve">omparison to high-field MRI, CT, and </w:t>
      </w:r>
      <w:r w:rsidR="00746619">
        <w:t>u</w:t>
      </w:r>
      <w:r>
        <w:t>ltrasound. AAEP Proceedings;70:265-271.</w:t>
      </w:r>
    </w:p>
    <w:p w14:paraId="2C1C4AFF" w14:textId="6992F648" w:rsidR="00445D5B" w:rsidRDefault="00445D5B" w:rsidP="00AE13D9">
      <w:pPr>
        <w:pStyle w:val="ListParagraph"/>
        <w:numPr>
          <w:ilvl w:val="0"/>
          <w:numId w:val="1"/>
        </w:numPr>
      </w:pPr>
      <w:r>
        <w:t>Judy CE. Old school and new school nuclear imaging (scintigraphy and PET): Taking the information back to the horse – what to expect and how to maximize diagnostic yield. 2024;70:253-258.</w:t>
      </w:r>
    </w:p>
    <w:p w14:paraId="643B76F4" w14:textId="19C4CDFD" w:rsidR="00445D5B" w:rsidRDefault="00445D5B" w:rsidP="00AE13D9">
      <w:pPr>
        <w:pStyle w:val="ListParagraph"/>
        <w:numPr>
          <w:ilvl w:val="0"/>
          <w:numId w:val="1"/>
        </w:numPr>
      </w:pPr>
      <w:r w:rsidRPr="00445D5B">
        <w:t xml:space="preserve">Pige C, Spriet M. Positron </w:t>
      </w:r>
      <w:r w:rsidR="00746619">
        <w:t>e</w:t>
      </w:r>
      <w:r w:rsidRPr="00445D5B">
        <w:t xml:space="preserve">mission </w:t>
      </w:r>
      <w:r w:rsidR="00746619">
        <w:t>t</w:t>
      </w:r>
      <w:r w:rsidRPr="00445D5B">
        <w:t>o</w:t>
      </w:r>
      <w:r>
        <w:t xml:space="preserve">mography: what does it add to computer </w:t>
      </w:r>
      <w:r w:rsidR="00341C8B">
        <w:t>tomography and</w:t>
      </w:r>
      <w:r>
        <w:t xml:space="preserve"> magnetic resonance imaging? AAEP Proceeding 2024;70:272-280.</w:t>
      </w:r>
    </w:p>
    <w:p w14:paraId="4D1A00C9" w14:textId="5BA73D2D" w:rsidR="00445D5B" w:rsidRDefault="00445D5B" w:rsidP="00AE13D9">
      <w:pPr>
        <w:pStyle w:val="ListParagraph"/>
        <w:numPr>
          <w:ilvl w:val="0"/>
          <w:numId w:val="1"/>
        </w:numPr>
      </w:pPr>
      <w:r>
        <w:t xml:space="preserve">Bills </w:t>
      </w:r>
      <w:r w:rsidR="00341C8B">
        <w:t>KW.</w:t>
      </w:r>
      <w:r>
        <w:t xml:space="preserve"> How to use positron emission tomography (PET) to improve confidence in the diagnosis of sport horse fetlock region pathology. 2024;70:367-</w:t>
      </w:r>
      <w:r w:rsidR="00997A19">
        <w:t>372.</w:t>
      </w:r>
    </w:p>
    <w:p w14:paraId="3A48BFE7" w14:textId="45FA081C" w:rsidR="00997A19" w:rsidRDefault="00997A19" w:rsidP="00AE13D9">
      <w:pPr>
        <w:pStyle w:val="ListParagraph"/>
        <w:numPr>
          <w:ilvl w:val="0"/>
          <w:numId w:val="1"/>
        </w:numPr>
      </w:pPr>
      <w:r>
        <w:t>Spriet M, Pye J, Espinosa P, et al. Comparison of 18F-NaF and 18F-FDG PET with low-field standing MRI in a clinical population of horses with foot pain. AAEP Proceedings 2024;70:493-494.</w:t>
      </w:r>
    </w:p>
    <w:p w14:paraId="78D1ADAC" w14:textId="1FC9006D" w:rsidR="00997A19" w:rsidRPr="00997A19" w:rsidRDefault="00997A19" w:rsidP="00AE13D9">
      <w:pPr>
        <w:pStyle w:val="ListParagraph"/>
        <w:numPr>
          <w:ilvl w:val="0"/>
          <w:numId w:val="1"/>
        </w:numPr>
      </w:pPr>
      <w:r w:rsidRPr="000E0F70">
        <w:t xml:space="preserve">Chamberlain M, Spriet M, Pige C, et al. </w:t>
      </w:r>
      <w:r w:rsidRPr="00997A19">
        <w:t>The use of standing 18F-</w:t>
      </w:r>
      <w:r w:rsidR="00746619">
        <w:t>s</w:t>
      </w:r>
      <w:r>
        <w:t xml:space="preserve">odium </w:t>
      </w:r>
      <w:r w:rsidR="00746619">
        <w:t>f</w:t>
      </w:r>
      <w:r>
        <w:t>luoride positron emission tomography in a clinical population of horses with suspected tarsal pain. AAEP Proceedings. 2024;70:495-496.</w:t>
      </w:r>
    </w:p>
    <w:sectPr w:rsidR="00997A19" w:rsidRPr="00997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14B7"/>
    <w:multiLevelType w:val="hybridMultilevel"/>
    <w:tmpl w:val="1D46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33"/>
    <w:rsid w:val="000E0F70"/>
    <w:rsid w:val="000E4943"/>
    <w:rsid w:val="002664BA"/>
    <w:rsid w:val="002B73DE"/>
    <w:rsid w:val="002C62C5"/>
    <w:rsid w:val="002E0703"/>
    <w:rsid w:val="002E1A09"/>
    <w:rsid w:val="00341C8B"/>
    <w:rsid w:val="00365B67"/>
    <w:rsid w:val="00375371"/>
    <w:rsid w:val="003F707A"/>
    <w:rsid w:val="00426989"/>
    <w:rsid w:val="00445D5B"/>
    <w:rsid w:val="004876AA"/>
    <w:rsid w:val="004D0584"/>
    <w:rsid w:val="004D29A4"/>
    <w:rsid w:val="00543F75"/>
    <w:rsid w:val="006064AC"/>
    <w:rsid w:val="00607DA0"/>
    <w:rsid w:val="006557F3"/>
    <w:rsid w:val="00664332"/>
    <w:rsid w:val="00746619"/>
    <w:rsid w:val="008B436D"/>
    <w:rsid w:val="008F43AE"/>
    <w:rsid w:val="00941F4F"/>
    <w:rsid w:val="00956F69"/>
    <w:rsid w:val="0098521D"/>
    <w:rsid w:val="00997A19"/>
    <w:rsid w:val="009B5056"/>
    <w:rsid w:val="009D63A6"/>
    <w:rsid w:val="00A526E6"/>
    <w:rsid w:val="00AE13D9"/>
    <w:rsid w:val="00BA0733"/>
    <w:rsid w:val="00BA76B7"/>
    <w:rsid w:val="00C23E91"/>
    <w:rsid w:val="00CE2C00"/>
    <w:rsid w:val="00D06E46"/>
    <w:rsid w:val="00D8339B"/>
    <w:rsid w:val="00D90D95"/>
    <w:rsid w:val="00D947F7"/>
    <w:rsid w:val="00DB08FE"/>
    <w:rsid w:val="00DB7886"/>
    <w:rsid w:val="00DC6349"/>
    <w:rsid w:val="00DD1FBD"/>
    <w:rsid w:val="00E825C6"/>
    <w:rsid w:val="00F149EC"/>
    <w:rsid w:val="00F9251E"/>
    <w:rsid w:val="00FA23BF"/>
    <w:rsid w:val="00F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DCB9"/>
  <w15:chartTrackingRefBased/>
  <w15:docId w15:val="{0CABA963-2284-451B-AB99-C1955D5C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334EC9E7534B9D04158EE127A1D4" ma:contentTypeVersion="14" ma:contentTypeDescription="Create a new document." ma:contentTypeScope="" ma:versionID="dc769cabfbcb837a01ccf181828bb422">
  <xsd:schema xmlns:xsd="http://www.w3.org/2001/XMLSchema" xmlns:xs="http://www.w3.org/2001/XMLSchema" xmlns:p="http://schemas.microsoft.com/office/2006/metadata/properties" xmlns:ns2="665d0bd9-5451-4ace-ab4e-39b5d6780681" xmlns:ns3="5a2711ff-4bc5-41b4-b3b9-585ac0cf55a3" targetNamespace="http://schemas.microsoft.com/office/2006/metadata/properties" ma:root="true" ma:fieldsID="435e0581679019d43f5e4ed399518df7" ns2:_="" ns3:_="">
    <xsd:import namespace="665d0bd9-5451-4ace-ab4e-39b5d6780681"/>
    <xsd:import namespace="5a2711ff-4bc5-41b4-b3b9-585ac0cf5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d0bd9-5451-4ace-ab4e-39b5d6780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3af2-e39c-43b6-b404-82eb453e0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11ff-4bc5-41b4-b3b9-585ac0cf55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1cf5f0-9258-458b-9b57-37143ce81286}" ma:internalName="TaxCatchAll" ma:showField="CatchAllData" ma:web="5a2711ff-4bc5-41b4-b3b9-585ac0cf5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d0bd9-5451-4ace-ab4e-39b5d6780681">
      <Terms xmlns="http://schemas.microsoft.com/office/infopath/2007/PartnerControls"/>
    </lcf76f155ced4ddcb4097134ff3c332f>
    <TaxCatchAll xmlns="5a2711ff-4bc5-41b4-b3b9-585ac0cf55a3" xsi:nil="true"/>
  </documentManagement>
</p:properties>
</file>

<file path=customXml/itemProps1.xml><?xml version="1.0" encoding="utf-8"?>
<ds:datastoreItem xmlns:ds="http://schemas.openxmlformats.org/officeDocument/2006/customXml" ds:itemID="{FE251566-F53D-4A96-9FC2-C5C732840DC6}"/>
</file>

<file path=customXml/itemProps2.xml><?xml version="1.0" encoding="utf-8"?>
<ds:datastoreItem xmlns:ds="http://schemas.openxmlformats.org/officeDocument/2006/customXml" ds:itemID="{21E2CE56-89E5-4C9E-B6E2-A68BBE4605C9}"/>
</file>

<file path=customXml/itemProps3.xml><?xml version="1.0" encoding="utf-8"?>
<ds:datastoreItem xmlns:ds="http://schemas.openxmlformats.org/officeDocument/2006/customXml" ds:itemID="{448B2666-2429-422F-8517-124ECF330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5668</Characters>
  <Application>Microsoft Office Word</Application>
  <DocSecurity>0</DocSecurity>
  <Lines>88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Langer</dc:creator>
  <cp:keywords/>
  <dc:description/>
  <cp:lastModifiedBy>Todd Gray</cp:lastModifiedBy>
  <cp:revision>2</cp:revision>
  <dcterms:created xsi:type="dcterms:W3CDTF">2025-07-26T19:13:00Z</dcterms:created>
  <dcterms:modified xsi:type="dcterms:W3CDTF">2025-07-26T19:13:00Z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0x0101005218334EC9E7534B9D04158EE127A1D4</vt:lpwstr>
  </property>
</Properties>
</file>