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F612C" w14:textId="74741CA5" w:rsidR="004C4A6E" w:rsidRDefault="00F8391D" w:rsidP="00F8391D">
      <w:pPr>
        <w:pStyle w:val="Heading1"/>
      </w:pPr>
      <w:r>
        <w:t xml:space="preserve">Second </w:t>
      </w:r>
      <w:r w:rsidRPr="00F8391D">
        <w:t>Annual Water Law in Eastern Washington CLE - May 21 &amp; 22, 2025</w:t>
      </w:r>
    </w:p>
    <w:p w14:paraId="52ECC20F" w14:textId="0F016BA0" w:rsidR="00F8391D" w:rsidRDefault="007540E1" w:rsidP="002B77ED">
      <w:pPr>
        <w:pStyle w:val="Heading2"/>
      </w:pPr>
      <w:r w:rsidRPr="007540E1">
        <w:t>Addressing Governor Ferguson’s Housing Initiatives and Water Availability</w:t>
      </w:r>
      <w:r>
        <w:t>:</w:t>
      </w:r>
      <w:r w:rsidRPr="007540E1">
        <w:t xml:space="preserve"> </w:t>
      </w:r>
      <w:r w:rsidR="00F8391D">
        <w:t xml:space="preserve">We can accommodate </w:t>
      </w:r>
      <w:r w:rsidR="002B77ED">
        <w:t xml:space="preserve">our </w:t>
      </w:r>
      <w:r w:rsidR="00F8391D">
        <w:t xml:space="preserve">needed housing with are available water, but only if we </w:t>
      </w:r>
      <w:r w:rsidR="00443C2A">
        <w:t xml:space="preserve">are </w:t>
      </w:r>
      <w:r w:rsidR="00F8391D">
        <w:t>smart</w:t>
      </w:r>
      <w:r w:rsidR="00443C2A">
        <w:t xml:space="preserve"> about it</w:t>
      </w:r>
      <w:r w:rsidR="000E394A">
        <w:t>.</w:t>
      </w:r>
    </w:p>
    <w:p w14:paraId="53488577" w14:textId="31BEEEA7" w:rsidR="00F8391D" w:rsidRDefault="00F8391D">
      <w:r>
        <w:t>Tim Trohimovich, Director of Planning and Law Futurewise</w:t>
      </w:r>
      <w:r w:rsidR="00CB2C72">
        <w:t xml:space="preserve">, </w:t>
      </w:r>
      <w:hyperlink r:id="rId9" w:history="1">
        <w:r w:rsidR="00CB2C72" w:rsidRPr="004960BE">
          <w:rPr>
            <w:rStyle w:val="Hyperlink"/>
          </w:rPr>
          <w:t>tim@futurewise.org</w:t>
        </w:r>
      </w:hyperlink>
    </w:p>
    <w:p w14:paraId="499C6CED" w14:textId="647EDF8E" w:rsidR="00D46C81" w:rsidRDefault="00D46C81" w:rsidP="00032424">
      <w:pPr>
        <w:pStyle w:val="Heading3"/>
      </w:pPr>
      <w:r>
        <w:t>Washington</w:t>
      </w:r>
      <w:r w:rsidR="00032424">
        <w:t>’s w</w:t>
      </w:r>
      <w:r>
        <w:t xml:space="preserve">ater is </w:t>
      </w:r>
      <w:r w:rsidR="00032424">
        <w:t>publicly</w:t>
      </w:r>
      <w:r>
        <w:t xml:space="preserve"> owned</w:t>
      </w:r>
      <w:r w:rsidR="00D60B65">
        <w:t>.</w:t>
      </w:r>
    </w:p>
    <w:p w14:paraId="0B9B7698" w14:textId="2B8D1226" w:rsidR="00B508BB" w:rsidRDefault="00B508BB" w:rsidP="00B508BB">
      <w:r>
        <w:t xml:space="preserve">The water in </w:t>
      </w:r>
      <w:r w:rsidR="001448CD">
        <w:t xml:space="preserve">Washington </w:t>
      </w:r>
      <w:r>
        <w:t>state is publicly owned.</w:t>
      </w:r>
      <w:r w:rsidR="001448CD">
        <w:rPr>
          <w:rStyle w:val="FootnoteReference"/>
        </w:rPr>
        <w:footnoteReference w:id="1"/>
      </w:r>
      <w:r>
        <w:t xml:space="preserve"> </w:t>
      </w:r>
      <w:r w:rsidR="00D80755">
        <w:t>“</w:t>
      </w:r>
      <w:r>
        <w:t>Private individuals and organizations, however, may acquire a right to use these public waters.</w:t>
      </w:r>
      <w:r w:rsidR="00A724F6">
        <w:t xml:space="preserve"> …</w:t>
      </w:r>
      <w:r w:rsidR="00D80755">
        <w:t xml:space="preserve"> </w:t>
      </w:r>
      <w:r>
        <w:t>This is known as a water right or a right of appropriation.</w:t>
      </w:r>
      <w:r w:rsidR="00A724F6">
        <w:t>”</w:t>
      </w:r>
      <w:r w:rsidR="007E053B">
        <w:rPr>
          <w:rStyle w:val="FootnoteReference"/>
        </w:rPr>
        <w:footnoteReference w:id="2"/>
      </w:r>
      <w:r w:rsidR="00A724F6">
        <w:t xml:space="preserve"> </w:t>
      </w:r>
      <w:r w:rsidR="003A6CF3" w:rsidRPr="003A6CF3">
        <w:t>RCW 90.03.010</w:t>
      </w:r>
      <w:r w:rsidR="003A6CF3">
        <w:t xml:space="preserve"> provides in part</w:t>
      </w:r>
      <w:r w:rsidR="00A72F95">
        <w:t xml:space="preserve"> that</w:t>
      </w:r>
      <w:r w:rsidR="003A6CF3">
        <w:t>: “</w:t>
      </w:r>
      <w:r w:rsidR="00A724F6">
        <w:t xml:space="preserve">As </w:t>
      </w:r>
      <w:r w:rsidR="00A724F6" w:rsidRPr="00A724F6">
        <w:t>Subject to existing rights all waters within the state belong to the public, and any right thereto, or to the use thereof, shall be hereafter acquired only by appropriation for a beneficial use and in the manner provided and not otherwise; and, as between appropriations, the first in time shall be the first in right.</w:t>
      </w:r>
      <w:r w:rsidR="003A6CF3">
        <w:t>”</w:t>
      </w:r>
    </w:p>
    <w:p w14:paraId="66216C06" w14:textId="72533798" w:rsidR="00B508BB" w:rsidRDefault="00032424" w:rsidP="002A363E">
      <w:pPr>
        <w:pStyle w:val="Heading3"/>
      </w:pPr>
      <w:r>
        <w:t xml:space="preserve">Washington’s </w:t>
      </w:r>
      <w:r w:rsidR="00B063B0">
        <w:t>w</w:t>
      </w:r>
      <w:r>
        <w:t xml:space="preserve">ater is already allocated, </w:t>
      </w:r>
      <w:r w:rsidR="00756166">
        <w:t xml:space="preserve">water levels are declining, </w:t>
      </w:r>
      <w:r w:rsidR="003606A2">
        <w:t xml:space="preserve">stream flows </w:t>
      </w:r>
      <w:r w:rsidR="00704C68">
        <w:t xml:space="preserve">are </w:t>
      </w:r>
      <w:r w:rsidR="002A363E">
        <w:t xml:space="preserve">shifting, </w:t>
      </w:r>
      <w:r>
        <w:t>shortages are likely</w:t>
      </w:r>
      <w:r w:rsidR="002A363E">
        <w:t>,</w:t>
      </w:r>
      <w:r>
        <w:t xml:space="preserve"> and </w:t>
      </w:r>
      <w:r w:rsidR="002A363E">
        <w:t>wells are running dry</w:t>
      </w:r>
      <w:r w:rsidR="00D60B65">
        <w:t>.</w:t>
      </w:r>
    </w:p>
    <w:p w14:paraId="4D02F480" w14:textId="5515C38F" w:rsidR="002B77ED" w:rsidRDefault="00154384">
      <w:r>
        <w:t>However, a</w:t>
      </w:r>
      <w:r w:rsidR="00145ABC">
        <w:t xml:space="preserve">ll of Washington’s water is already allocated to </w:t>
      </w:r>
      <w:r w:rsidR="0015597F">
        <w:t xml:space="preserve">a water user. According to </w:t>
      </w:r>
      <w:r w:rsidR="0015597F" w:rsidRPr="00503CDE">
        <w:t>Ria Berns, who manages the Washington State Department of Ecology’s Water Resources Program</w:t>
      </w:r>
      <w:r w:rsidR="0015597F">
        <w:t>, “[e]</w:t>
      </w:r>
      <w:r w:rsidR="0015597F" w:rsidRPr="00C0317B">
        <w:t>ven when there is enough snowpack and enough water flowing through Washington’s rivers and streams, it’s all spoken for</w:t>
      </w:r>
      <w:r w:rsidR="0015597F">
        <w:t xml:space="preserve"> ….”</w:t>
      </w:r>
      <w:r w:rsidR="0015597F">
        <w:rPr>
          <w:rStyle w:val="FootnoteReference"/>
        </w:rPr>
        <w:footnoteReference w:id="3"/>
      </w:r>
    </w:p>
    <w:p w14:paraId="1ECE73CD" w14:textId="77777777" w:rsidR="00AE281A" w:rsidRPr="00154384" w:rsidRDefault="00AE281A" w:rsidP="00154384"/>
    <w:p w14:paraId="50F5CAF7" w14:textId="487AB0EB" w:rsidR="006E280F" w:rsidRDefault="00AE281A" w:rsidP="00154384">
      <w:pPr>
        <w:rPr>
          <w:rFonts w:cs="Times New Roman"/>
        </w:rPr>
      </w:pPr>
      <w:r w:rsidRPr="00154384">
        <w:rPr>
          <w:rFonts w:cs="Times New Roman"/>
        </w:rPr>
        <w:t>Worse</w:t>
      </w:r>
      <w:r w:rsidR="00B061DD">
        <w:rPr>
          <w:rFonts w:cs="Times New Roman"/>
        </w:rPr>
        <w:t>,</w:t>
      </w:r>
      <w:r w:rsidRPr="00154384">
        <w:rPr>
          <w:rFonts w:cs="Times New Roman"/>
        </w:rPr>
        <w:t xml:space="preserve"> </w:t>
      </w:r>
      <w:r w:rsidR="007558D9">
        <w:rPr>
          <w:rFonts w:cs="Times New Roman"/>
        </w:rPr>
        <w:t xml:space="preserve">available </w:t>
      </w:r>
      <w:r w:rsidRPr="00154384">
        <w:rPr>
          <w:rFonts w:cs="Times New Roman"/>
        </w:rPr>
        <w:t>water</w:t>
      </w:r>
      <w:r w:rsidR="002E54AC">
        <w:rPr>
          <w:rFonts w:cs="Times New Roman"/>
        </w:rPr>
        <w:t xml:space="preserve"> </w:t>
      </w:r>
      <w:r w:rsidR="00DD2AE2">
        <w:rPr>
          <w:rFonts w:cs="Times New Roman"/>
        </w:rPr>
        <w:t>is declining</w:t>
      </w:r>
      <w:r w:rsidRPr="00154384">
        <w:rPr>
          <w:rFonts w:cs="Times New Roman"/>
        </w:rPr>
        <w:t xml:space="preserve">. </w:t>
      </w:r>
      <w:r w:rsidR="00DD2AE2">
        <w:rPr>
          <w:rFonts w:cs="Times New Roman"/>
        </w:rPr>
        <w:t>“</w:t>
      </w:r>
      <w:r w:rsidR="00DD2AE2" w:rsidRPr="00DD2AE2">
        <w:rPr>
          <w:rFonts w:cs="Times New Roman"/>
        </w:rPr>
        <w:t>Groundwater levels are declining in most aquifer layers and groundwater subareas across eastern Washington.</w:t>
      </w:r>
      <w:r w:rsidR="00DD2AE2">
        <w:rPr>
          <w:rFonts w:cs="Times New Roman"/>
        </w:rPr>
        <w:t>”</w:t>
      </w:r>
      <w:r w:rsidR="00DD2AE2">
        <w:rPr>
          <w:rStyle w:val="FootnoteReference"/>
          <w:rFonts w:cs="Times New Roman"/>
        </w:rPr>
        <w:footnoteReference w:id="4"/>
      </w:r>
      <w:r w:rsidR="00DD2AE2">
        <w:rPr>
          <w:rFonts w:cs="Times New Roman"/>
        </w:rPr>
        <w:t xml:space="preserve"> </w:t>
      </w:r>
      <w:r w:rsidRPr="00154384">
        <w:rPr>
          <w:rFonts w:cs="Times New Roman"/>
        </w:rPr>
        <w:t xml:space="preserve">Over use of </w:t>
      </w:r>
      <w:r w:rsidRPr="00154384">
        <w:rPr>
          <w:rFonts w:cs="Times New Roman"/>
        </w:rPr>
        <w:lastRenderedPageBreak/>
        <w:t>aquifers has caused wells to run dry.</w:t>
      </w:r>
      <w:r w:rsidRPr="00154384">
        <w:rPr>
          <w:rStyle w:val="FootnoteReference"/>
          <w:rFonts w:cs="Times New Roman"/>
        </w:rPr>
        <w:footnoteReference w:id="5"/>
      </w:r>
      <w:r w:rsidRPr="00154384">
        <w:rPr>
          <w:rFonts w:cs="Times New Roman"/>
        </w:rPr>
        <w:t xml:space="preserve"> In 2012, Ecology warned the 25 communities who rely on the Odessa aquifer for drinking water that their municipal wells may go dry within a decade.</w:t>
      </w:r>
      <w:r w:rsidRPr="00154384">
        <w:rPr>
          <w:rStyle w:val="FootnoteReference"/>
          <w:rFonts w:cs="Times New Roman"/>
        </w:rPr>
        <w:footnoteReference w:id="6"/>
      </w:r>
    </w:p>
    <w:p w14:paraId="21AFAFB8" w14:textId="77777777" w:rsidR="006E280F" w:rsidRDefault="006E280F" w:rsidP="00154384">
      <w:pPr>
        <w:rPr>
          <w:rFonts w:cs="Times New Roman"/>
        </w:rPr>
      </w:pPr>
    </w:p>
    <w:p w14:paraId="68867B1C" w14:textId="4728B2E8" w:rsidR="006E280F" w:rsidRDefault="006E280F" w:rsidP="004E2516">
      <w:pPr>
        <w:rPr>
          <w:rFonts w:cs="Times New Roman"/>
        </w:rPr>
      </w:pPr>
      <w:r>
        <w:rPr>
          <w:rFonts w:cs="Times New Roman"/>
        </w:rPr>
        <w:t>“T</w:t>
      </w:r>
      <w:r w:rsidRPr="006E280F">
        <w:rPr>
          <w:rFonts w:cs="Times New Roman"/>
        </w:rPr>
        <w:t>he timing of surface water supplies is shifting earlier</w:t>
      </w:r>
      <w:r>
        <w:rPr>
          <w:rFonts w:cs="Times New Roman"/>
        </w:rPr>
        <w:t xml:space="preserve"> </w:t>
      </w:r>
      <w:r w:rsidRPr="006E280F">
        <w:rPr>
          <w:rFonts w:cs="Times New Roman"/>
        </w:rPr>
        <w:t>in the season, especially in the snowmelt-dominated</w:t>
      </w:r>
      <w:r>
        <w:rPr>
          <w:rFonts w:cs="Times New Roman"/>
        </w:rPr>
        <w:t xml:space="preserve"> </w:t>
      </w:r>
      <w:r w:rsidRPr="006E280F">
        <w:rPr>
          <w:rFonts w:cs="Times New Roman"/>
        </w:rPr>
        <w:t>Cascades watersheds.</w:t>
      </w:r>
      <w:r>
        <w:rPr>
          <w:rFonts w:cs="Times New Roman"/>
        </w:rPr>
        <w:t>’</w:t>
      </w:r>
      <w:r>
        <w:rPr>
          <w:rStyle w:val="FootnoteReference"/>
          <w:rFonts w:cs="Times New Roman"/>
        </w:rPr>
        <w:footnoteReference w:id="7"/>
      </w:r>
      <w:r w:rsidR="00B350F2">
        <w:rPr>
          <w:rFonts w:cs="Times New Roman"/>
        </w:rPr>
        <w:t xml:space="preserve"> “</w:t>
      </w:r>
      <w:r w:rsidR="00B350F2" w:rsidRPr="00B350F2">
        <w:rPr>
          <w:rFonts w:cs="Times New Roman"/>
        </w:rPr>
        <w:t>Local increases in out-of-stream demands are expected, converging with local decreases in water supply, such as</w:t>
      </w:r>
      <w:r w:rsidR="00B350F2">
        <w:rPr>
          <w:rFonts w:cs="Times New Roman"/>
        </w:rPr>
        <w:t xml:space="preserve"> </w:t>
      </w:r>
      <w:r w:rsidR="00B350F2" w:rsidRPr="00B350F2">
        <w:rPr>
          <w:rFonts w:cs="Times New Roman"/>
        </w:rPr>
        <w:t>in the Yakima River Basin. The combination of lower supplies at critical times and locally increasing demands leads to</w:t>
      </w:r>
      <w:r w:rsidR="00B15103">
        <w:rPr>
          <w:rFonts w:cs="Times New Roman"/>
        </w:rPr>
        <w:t xml:space="preserve"> </w:t>
      </w:r>
      <w:r w:rsidR="00B350F2" w:rsidRPr="00B350F2">
        <w:rPr>
          <w:rFonts w:cs="Times New Roman"/>
        </w:rPr>
        <w:t>increasing frequency of instream flow deficits and resulting prorationing or curtailments.</w:t>
      </w:r>
      <w:r w:rsidR="00B15103">
        <w:rPr>
          <w:rFonts w:cs="Times New Roman"/>
        </w:rPr>
        <w:t>”</w:t>
      </w:r>
      <w:r w:rsidR="00B15103">
        <w:rPr>
          <w:rStyle w:val="FootnoteReference"/>
          <w:rFonts w:cs="Times New Roman"/>
        </w:rPr>
        <w:footnoteReference w:id="8"/>
      </w:r>
      <w:r w:rsidR="004E2516">
        <w:rPr>
          <w:rFonts w:cs="Times New Roman"/>
        </w:rPr>
        <w:t xml:space="preserve"> “</w:t>
      </w:r>
      <w:r w:rsidR="004E2516" w:rsidRPr="004E2516">
        <w:rPr>
          <w:rFonts w:cs="Times New Roman"/>
        </w:rPr>
        <w:t>Increases in summer</w:t>
      </w:r>
      <w:r w:rsidR="004E2516">
        <w:rPr>
          <w:rFonts w:cs="Times New Roman"/>
        </w:rPr>
        <w:t xml:space="preserve"> </w:t>
      </w:r>
      <w:r w:rsidR="004E2516" w:rsidRPr="004E2516">
        <w:rPr>
          <w:rFonts w:cs="Times New Roman"/>
        </w:rPr>
        <w:t>residential demand of over 20% are expected to occur in</w:t>
      </w:r>
      <w:r w:rsidR="000F42A6">
        <w:rPr>
          <w:rFonts w:cs="Times New Roman"/>
        </w:rPr>
        <w:t xml:space="preserve"> [Water Resource Inventory Areas</w:t>
      </w:r>
      <w:r w:rsidR="007C07B3">
        <w:rPr>
          <w:rFonts w:cs="Times New Roman"/>
        </w:rPr>
        <w:t xml:space="preserve">] </w:t>
      </w:r>
      <w:r w:rsidR="004E2516" w:rsidRPr="004E2516">
        <w:rPr>
          <w:rFonts w:cs="Times New Roman"/>
        </w:rPr>
        <w:t>WRIAs showing declining summer supplies and that include</w:t>
      </w:r>
      <w:r w:rsidR="00C12A94">
        <w:rPr>
          <w:rFonts w:cs="Times New Roman"/>
        </w:rPr>
        <w:t xml:space="preserve"> </w:t>
      </w:r>
      <w:r w:rsidR="004E2516" w:rsidRPr="004E2516">
        <w:rPr>
          <w:rFonts w:cs="Times New Roman"/>
        </w:rPr>
        <w:t>municipalities using surface water sources (such as WRIA 37). Similarly, WRIAs with the largest expected increases</w:t>
      </w:r>
      <w:r w:rsidR="00C12A94">
        <w:rPr>
          <w:rFonts w:cs="Times New Roman"/>
        </w:rPr>
        <w:t xml:space="preserve"> </w:t>
      </w:r>
      <w:r w:rsidR="004E2516" w:rsidRPr="004E2516">
        <w:rPr>
          <w:rFonts w:cs="Times New Roman"/>
        </w:rPr>
        <w:t xml:space="preserve">in summer demand lie over aquifer layers with declining groundwater levels </w:t>
      </w:r>
      <w:r w:rsidR="00AF14A4">
        <w:rPr>
          <w:rFonts w:cs="Times New Roman"/>
        </w:rPr>
        <w:t>…</w:t>
      </w:r>
      <w:r w:rsidR="004E2516" w:rsidRPr="004E2516">
        <w:rPr>
          <w:rFonts w:cs="Times New Roman"/>
        </w:rPr>
        <w:t>, while also including</w:t>
      </w:r>
      <w:r w:rsidR="00C12A94">
        <w:rPr>
          <w:rFonts w:cs="Times New Roman"/>
        </w:rPr>
        <w:t xml:space="preserve"> </w:t>
      </w:r>
      <w:r w:rsidR="004E2516" w:rsidRPr="004E2516">
        <w:rPr>
          <w:rFonts w:cs="Times New Roman"/>
        </w:rPr>
        <w:t>municipalities using groundwater sources.</w:t>
      </w:r>
      <w:r w:rsidR="00AF14A4">
        <w:rPr>
          <w:rFonts w:cs="Times New Roman"/>
        </w:rPr>
        <w:t>”</w:t>
      </w:r>
      <w:r w:rsidR="003F6298">
        <w:rPr>
          <w:rStyle w:val="FootnoteReference"/>
          <w:rFonts w:cs="Times New Roman"/>
        </w:rPr>
        <w:footnoteReference w:id="9"/>
      </w:r>
    </w:p>
    <w:p w14:paraId="3D5F904C" w14:textId="7D88BE26" w:rsidR="00237E37" w:rsidRDefault="002204CD" w:rsidP="002204CD">
      <w:pPr>
        <w:pStyle w:val="Heading3"/>
      </w:pPr>
      <w:r>
        <w:t>We are also polluting our water supplies</w:t>
      </w:r>
      <w:r w:rsidR="00D60B65">
        <w:t>.</w:t>
      </w:r>
    </w:p>
    <w:p w14:paraId="1797DA30" w14:textId="532CEB99" w:rsidR="00AE281A" w:rsidRPr="00154384" w:rsidRDefault="00AE281A" w:rsidP="00154384">
      <w:pPr>
        <w:rPr>
          <w:rFonts w:cs="Times New Roman"/>
        </w:rPr>
      </w:pPr>
      <w:r w:rsidRPr="00154384">
        <w:rPr>
          <w:rFonts w:cs="Times New Roman"/>
        </w:rPr>
        <w:t xml:space="preserve">We are not only over using our water resources, we are polluting them. From the Canadian border to the Oregon border, ground water has become contaminated with the nitrates, putting the children who drink the water at risk of </w:t>
      </w:r>
      <w:r w:rsidRPr="00154384">
        <w:rPr>
          <w:rFonts w:cs="Times New Roman"/>
        </w:rPr>
        <w:lastRenderedPageBreak/>
        <w:t>methemoglobinemia or “blue baby syndrome.”</w:t>
      </w:r>
      <w:r w:rsidRPr="00154384">
        <w:rPr>
          <w:rStyle w:val="FootnoteReference"/>
          <w:rFonts w:cs="Times New Roman"/>
        </w:rPr>
        <w:footnoteReference w:id="10"/>
      </w:r>
      <w:r w:rsidRPr="00154384">
        <w:rPr>
          <w:rFonts w:cs="Times New Roman"/>
        </w:rPr>
        <w:t xml:space="preserve"> We are also contaminating our ground water with other pollutants</w:t>
      </w:r>
      <w:r w:rsidR="0072414E">
        <w:rPr>
          <w:rFonts w:cs="Times New Roman"/>
        </w:rPr>
        <w:t xml:space="preserve"> such as the forever chemicals PFAS</w:t>
      </w:r>
      <w:r w:rsidRPr="00154384">
        <w:rPr>
          <w:rFonts w:cs="Times New Roman"/>
        </w:rPr>
        <w:t>.</w:t>
      </w:r>
      <w:r w:rsidR="0072414E">
        <w:rPr>
          <w:rStyle w:val="FootnoteReference"/>
          <w:rFonts w:cs="Times New Roman"/>
        </w:rPr>
        <w:footnoteReference w:id="11"/>
      </w:r>
      <w:r w:rsidR="0061700C">
        <w:rPr>
          <w:rFonts w:cs="Times New Roman"/>
        </w:rPr>
        <w:t xml:space="preserve"> </w:t>
      </w:r>
    </w:p>
    <w:p w14:paraId="57DD77A6" w14:textId="77777777" w:rsidR="00AE281A" w:rsidRPr="00154384" w:rsidRDefault="00AE281A" w:rsidP="00154384"/>
    <w:p w14:paraId="5FF0ECA9" w14:textId="00F78C02" w:rsidR="00657E4A" w:rsidRDefault="00B80678" w:rsidP="00154384">
      <w:r>
        <w:t>So what can we do? A lot.</w:t>
      </w:r>
    </w:p>
    <w:p w14:paraId="2734BEAA" w14:textId="2CE6D4A7" w:rsidR="00B80678" w:rsidRPr="00154384" w:rsidRDefault="00B80678" w:rsidP="00697B8A">
      <w:pPr>
        <w:pStyle w:val="Heading3"/>
      </w:pPr>
      <w:r>
        <w:t>Stop polluting groundwater drinking sources</w:t>
      </w:r>
      <w:r w:rsidR="00697B8A">
        <w:t>.</w:t>
      </w:r>
    </w:p>
    <w:p w14:paraId="752B7400" w14:textId="77777777" w:rsidR="000341CC" w:rsidRDefault="00697B8A" w:rsidP="00154384">
      <w:r>
        <w:t xml:space="preserve">The Growth Management Act </w:t>
      </w:r>
      <w:r w:rsidR="00EB37A5">
        <w:t xml:space="preserve">requires counties and cities to designate and </w:t>
      </w:r>
      <w:r w:rsidR="008F4243" w:rsidRPr="008F4243">
        <w:t xml:space="preserve">protect </w:t>
      </w:r>
      <w:r w:rsidR="00EB37A5">
        <w:t>aquifer recharge areas.</w:t>
      </w:r>
      <w:r w:rsidR="000341CC">
        <w:rPr>
          <w:rStyle w:val="FootnoteReference"/>
        </w:rPr>
        <w:footnoteReference w:id="12"/>
      </w:r>
      <w:r w:rsidR="00EB37A5">
        <w:t xml:space="preserve"> </w:t>
      </w:r>
      <w:r w:rsidR="000341CC">
        <w:t>We need to do a better job of protecting these important water sources. So do the state agencies.</w:t>
      </w:r>
    </w:p>
    <w:p w14:paraId="74B0DF6E" w14:textId="6C9EE1AF" w:rsidR="00F8391D" w:rsidRDefault="009F34BC" w:rsidP="00625E05">
      <w:pPr>
        <w:pStyle w:val="Heading3"/>
      </w:pPr>
      <w:r>
        <w:t>Plan and zone for housing types to have little or no outdoor irrigation</w:t>
      </w:r>
      <w:r w:rsidR="00625E05">
        <w:t xml:space="preserve"> and higher densities.</w:t>
      </w:r>
    </w:p>
    <w:p w14:paraId="7249EFB0" w14:textId="08A2F6E1" w:rsidR="00697B8A" w:rsidRDefault="00BC0DEB" w:rsidP="00F82A14">
      <w:r>
        <w:t>“[</w:t>
      </w:r>
      <w:r w:rsidR="009604D6">
        <w:t>I</w:t>
      </w:r>
      <w:r>
        <w:t>]ncreasing irrigation efficiency (less water applied per unit area irrigated) may decrease total residential water demand by 5% to 25% over” the baseline scenario.</w:t>
      </w:r>
      <w:r w:rsidR="003D407D">
        <w:rPr>
          <w:rStyle w:val="FootnoteReference"/>
        </w:rPr>
        <w:footnoteReference w:id="13"/>
      </w:r>
      <w:r>
        <w:t xml:space="preserve"> </w:t>
      </w:r>
      <w:r w:rsidR="005A4C76">
        <w:t>I</w:t>
      </w:r>
      <w:r w:rsidR="003053A8">
        <w:t xml:space="preserve">ncreasing efficiency and reducing or eliminating outdoor irrigation </w:t>
      </w:r>
      <w:r w:rsidR="0005385F">
        <w:t xml:space="preserve">will help accommodate the necessary housing units. </w:t>
      </w:r>
      <w:r w:rsidR="00A4709F">
        <w:t xml:space="preserve">Higher density housing types </w:t>
      </w:r>
      <w:r w:rsidR="003F7695">
        <w:t xml:space="preserve">also </w:t>
      </w:r>
      <w:r w:rsidR="00A4709F">
        <w:t>use less water per capita for outdoor irrigation.</w:t>
      </w:r>
      <w:r w:rsidR="00BD2A0C">
        <w:rPr>
          <w:rStyle w:val="FootnoteReference"/>
        </w:rPr>
        <w:footnoteReference w:id="14"/>
      </w:r>
      <w:r w:rsidR="00A4709F">
        <w:t xml:space="preserve"> Most m</w:t>
      </w:r>
      <w:r w:rsidR="00F2312E">
        <w:t xml:space="preserve">ulti-family housing types also use less </w:t>
      </w:r>
      <w:r w:rsidR="00F82A14">
        <w:t xml:space="preserve">indoor water </w:t>
      </w:r>
      <w:r w:rsidR="009604D6">
        <w:t xml:space="preserve">on a </w:t>
      </w:r>
      <w:r w:rsidR="00F82A14">
        <w:t>per</w:t>
      </w:r>
      <w:r w:rsidR="001B0C9B">
        <w:t xml:space="preserve"> capital </w:t>
      </w:r>
      <w:r w:rsidR="009604D6">
        <w:t>basis</w:t>
      </w:r>
      <w:r w:rsidR="004B2D4A">
        <w:t xml:space="preserve"> than single-family homes</w:t>
      </w:r>
      <w:r w:rsidR="001B0C9B">
        <w:t xml:space="preserve">, </w:t>
      </w:r>
      <w:r w:rsidR="001B0C9B">
        <w:lastRenderedPageBreak/>
        <w:t xml:space="preserve">although the difference is </w:t>
      </w:r>
      <w:r w:rsidR="00BD2A0C">
        <w:t>much less</w:t>
      </w:r>
      <w:r w:rsidR="009604D6">
        <w:t xml:space="preserve"> than </w:t>
      </w:r>
      <w:r w:rsidR="004B2D4A">
        <w:t xml:space="preserve">for </w:t>
      </w:r>
      <w:r w:rsidR="009604D6">
        <w:t>outdoor use</w:t>
      </w:r>
      <w:r w:rsidR="00BD2A0C">
        <w:t>.</w:t>
      </w:r>
      <w:r w:rsidR="00BD2A0C">
        <w:rPr>
          <w:rStyle w:val="FootnoteReference"/>
        </w:rPr>
        <w:footnoteReference w:id="15"/>
      </w:r>
      <w:r w:rsidR="007024CE">
        <w:t xml:space="preserve"> </w:t>
      </w:r>
      <w:r w:rsidR="00B85059">
        <w:t>Appliance</w:t>
      </w:r>
      <w:r w:rsidR="007024CE">
        <w:t xml:space="preserve"> and water </w:t>
      </w:r>
      <w:r w:rsidR="00B85059">
        <w:t>fixture</w:t>
      </w:r>
      <w:r w:rsidR="007024CE">
        <w:t xml:space="preserve"> ag</w:t>
      </w:r>
      <w:r w:rsidR="00B85059">
        <w:t>e which is related to water efficiency is also an important factor in determining water use.</w:t>
      </w:r>
      <w:r w:rsidR="00B85059">
        <w:rPr>
          <w:rStyle w:val="FootnoteReference"/>
        </w:rPr>
        <w:footnoteReference w:id="16"/>
      </w:r>
    </w:p>
    <w:p w14:paraId="6F6288F6" w14:textId="77777777" w:rsidR="00697B8A" w:rsidRDefault="00697B8A" w:rsidP="00154384"/>
    <w:p w14:paraId="57F7BD2F" w14:textId="5FA8C8D6" w:rsidR="008937C3" w:rsidRDefault="00D52F29" w:rsidP="00154384">
      <w:r>
        <w:t xml:space="preserve">In addition to conserving water, </w:t>
      </w:r>
      <w:r w:rsidR="005069F0">
        <w:t>low</w:t>
      </w:r>
      <w:r w:rsidR="00E40482">
        <w:t>-</w:t>
      </w:r>
      <w:r w:rsidR="00843517">
        <w:t>r</w:t>
      </w:r>
      <w:r w:rsidR="00E40482">
        <w:t xml:space="preserve">ise </w:t>
      </w:r>
      <w:r w:rsidR="00843517">
        <w:t>m</w:t>
      </w:r>
      <w:r w:rsidR="00E40482">
        <w:t xml:space="preserve">ultifamily </w:t>
      </w:r>
      <w:r w:rsidR="00843517">
        <w:t>housing, w</w:t>
      </w:r>
      <w:r w:rsidR="00E40482">
        <w:t>alk-up apartment</w:t>
      </w:r>
      <w:r w:rsidR="0039220E">
        <w:t>s</w:t>
      </w:r>
      <w:r w:rsidR="00843517">
        <w:t xml:space="preserve"> and </w:t>
      </w:r>
      <w:r w:rsidR="00E40482">
        <w:t>condominiums</w:t>
      </w:r>
      <w:r w:rsidR="00843517">
        <w:t xml:space="preserve"> </w:t>
      </w:r>
      <w:r w:rsidR="00E40482">
        <w:t>(</w:t>
      </w:r>
      <w:r w:rsidR="00C85FC4">
        <w:t xml:space="preserve">two to three </w:t>
      </w:r>
      <w:r w:rsidR="00E40482">
        <w:t>floors)</w:t>
      </w:r>
      <w:r w:rsidR="003E6F57">
        <w:t>,</w:t>
      </w:r>
      <w:r w:rsidR="00843517">
        <w:t xml:space="preserve"> and mid-rise</w:t>
      </w:r>
      <w:r w:rsidR="003E6F57">
        <w:t xml:space="preserve"> apartments and condominiums are the most affordable housing types</w:t>
      </w:r>
      <w:r w:rsidR="0039220E">
        <w:t>.</w:t>
      </w:r>
      <w:r w:rsidR="009712C4">
        <w:rPr>
          <w:rStyle w:val="FootnoteReference"/>
        </w:rPr>
        <w:footnoteReference w:id="17"/>
      </w:r>
      <w:r w:rsidR="0039220E">
        <w:t xml:space="preserve"> A</w:t>
      </w:r>
      <w:r w:rsidR="0039220E" w:rsidRPr="0039220E">
        <w:t>ll Washington cities and counties need more affordable housing</w:t>
      </w:r>
      <w:r w:rsidR="00D04562">
        <w:t xml:space="preserve">. Statewide </w:t>
      </w:r>
      <w:r w:rsidR="00187263">
        <w:t xml:space="preserve">at least </w:t>
      </w:r>
      <w:r w:rsidR="00D04562">
        <w:t xml:space="preserve">half of the housing built over the next twenty years </w:t>
      </w:r>
      <w:r w:rsidR="00D04562" w:rsidRPr="00D04562">
        <w:t>will need to be affordable for residents at the lowest income levels.</w:t>
      </w:r>
    </w:p>
    <w:p w14:paraId="147AED31" w14:textId="77777777" w:rsidR="00187263" w:rsidRDefault="00187263" w:rsidP="00154384"/>
    <w:p w14:paraId="154794E8" w14:textId="3556972F" w:rsidR="00187263" w:rsidRDefault="00432F76" w:rsidP="00154384">
      <w:r>
        <w:t xml:space="preserve">In addition to </w:t>
      </w:r>
      <w:r w:rsidR="00187263">
        <w:t xml:space="preserve">planning and zoning </w:t>
      </w:r>
      <w:r w:rsidR="004807E8">
        <w:t xml:space="preserve">for housing that </w:t>
      </w:r>
      <w:r>
        <w:t xml:space="preserve">is affordable and </w:t>
      </w:r>
      <w:r w:rsidR="004807E8">
        <w:t>conserves water</w:t>
      </w:r>
      <w:r w:rsidR="00893B1F">
        <w:t xml:space="preserve">, we should not plan for </w:t>
      </w:r>
      <w:r w:rsidR="004807E8">
        <w:t xml:space="preserve">housing that </w:t>
      </w:r>
      <w:r>
        <w:t>over uses water for landscaping irrigation and excessive indoor water use</w:t>
      </w:r>
      <w:r w:rsidR="00893B1F">
        <w:t xml:space="preserve"> and that results in water losses from long water lines</w:t>
      </w:r>
      <w:r>
        <w:t>.</w:t>
      </w:r>
      <w:r w:rsidR="00963344">
        <w:t xml:space="preserve"> </w:t>
      </w:r>
      <w:r w:rsidR="00963344">
        <w:rPr>
          <w:bCs/>
        </w:rPr>
        <w:t>Large lots and low densities increase water demand, increase leakage from water systems, and increase costs to water system customers.</w:t>
      </w:r>
      <w:r w:rsidR="00963344">
        <w:rPr>
          <w:bCs/>
          <w:vertAlign w:val="superscript"/>
        </w:rPr>
        <w:footnoteReference w:id="18"/>
      </w:r>
      <w:r w:rsidR="00963344">
        <w:rPr>
          <w:bCs/>
        </w:rPr>
        <w:t xml:space="preserve"> </w:t>
      </w:r>
      <w:r w:rsidR="0031270F">
        <w:rPr>
          <w:bCs/>
        </w:rPr>
        <w:t>A</w:t>
      </w:r>
      <w:r w:rsidR="00963344">
        <w:rPr>
          <w:bCs/>
        </w:rPr>
        <w:t xml:space="preserve">ccommodating the same population and jobs in the existing </w:t>
      </w:r>
      <w:r w:rsidR="0031270F">
        <w:rPr>
          <w:bCs/>
        </w:rPr>
        <w:t xml:space="preserve">urban growth areas </w:t>
      </w:r>
      <w:r w:rsidR="001C34F1">
        <w:rPr>
          <w:bCs/>
        </w:rPr>
        <w:t xml:space="preserve">and at higher densities </w:t>
      </w:r>
      <w:r w:rsidR="00963344">
        <w:rPr>
          <w:bCs/>
        </w:rPr>
        <w:t>can reduce future water demands and costs.</w:t>
      </w:r>
      <w:r w:rsidR="00963344">
        <w:rPr>
          <w:bCs/>
          <w:vertAlign w:val="superscript"/>
        </w:rPr>
        <w:footnoteReference w:id="19"/>
      </w:r>
    </w:p>
    <w:p w14:paraId="1536FFA7" w14:textId="01F3A26F" w:rsidR="008F627F" w:rsidRDefault="008F627F" w:rsidP="00A95674">
      <w:pPr>
        <w:pStyle w:val="Heading3"/>
      </w:pPr>
      <w:r>
        <w:t xml:space="preserve">Comprehensive plans need to take into account </w:t>
      </w:r>
      <w:r w:rsidR="00E5122C">
        <w:t xml:space="preserve">legal and physical </w:t>
      </w:r>
      <w:r>
        <w:t>water availability</w:t>
      </w:r>
      <w:r w:rsidR="00D60B65">
        <w:t>.</w:t>
      </w:r>
    </w:p>
    <w:p w14:paraId="6B2576B2" w14:textId="7B264814" w:rsidR="00A95674" w:rsidRDefault="00CC6D82" w:rsidP="00154384">
      <w:r>
        <w:t xml:space="preserve">All counties and cities </w:t>
      </w:r>
      <w:r w:rsidR="009409FD">
        <w:t xml:space="preserve">fully </w:t>
      </w:r>
      <w:r>
        <w:t>planning under the Growth Management Act must include a c</w:t>
      </w:r>
      <w:r w:rsidR="00BB75EB">
        <w:t>apital facility plan</w:t>
      </w:r>
      <w:r>
        <w:t xml:space="preserve"> element that identifies the public facilities and services need to accommodate its planned growth </w:t>
      </w:r>
      <w:r w:rsidR="00642C81">
        <w:t>and to plan for providing those facilities.</w:t>
      </w:r>
      <w:r w:rsidR="000A3C08">
        <w:rPr>
          <w:rStyle w:val="FootnoteReference"/>
        </w:rPr>
        <w:footnoteReference w:id="20"/>
      </w:r>
      <w:r w:rsidR="00642C81">
        <w:t xml:space="preserve"> </w:t>
      </w:r>
      <w:r w:rsidR="005A4A4A">
        <w:t>“[A]</w:t>
      </w:r>
      <w:r w:rsidR="005A4A4A" w:rsidRPr="005A4A4A">
        <w:t xml:space="preserve"> “capital facility” as contemplated by RCW 36.70A.070(3) is a </w:t>
      </w:r>
      <w:r w:rsidR="005A4A4A" w:rsidRPr="005A4A4A">
        <w:lastRenderedPageBreak/>
        <w:t xml:space="preserve">fixed, physical facility that has been built, constructed, or installed to perform a service relevant to the considerations at issue in the GMA, such the </w:t>
      </w:r>
      <w:r w:rsidR="005A4A4A">
        <w:t>‘</w:t>
      </w:r>
      <w:r w:rsidR="005A4A4A" w:rsidRPr="005A4A4A">
        <w:t>public services</w:t>
      </w:r>
      <w:r w:rsidR="005A4A4A">
        <w:t>’</w:t>
      </w:r>
      <w:r w:rsidR="005A4A4A" w:rsidRPr="005A4A4A">
        <w:t xml:space="preserve"> listed in RCW 36.70A.030(</w:t>
      </w:r>
      <w:r w:rsidR="00BD0D8A">
        <w:t>[31]</w:t>
      </w:r>
      <w:r w:rsidR="005A4A4A" w:rsidRPr="005A4A4A">
        <w:t xml:space="preserve">). Capital facilities include the </w:t>
      </w:r>
      <w:r w:rsidR="005A4A4A">
        <w:t>‘</w:t>
      </w:r>
      <w:r w:rsidR="005A4A4A" w:rsidRPr="005A4A4A">
        <w:t>public facilities</w:t>
      </w:r>
      <w:r w:rsidR="005A4A4A">
        <w:t>’</w:t>
      </w:r>
      <w:r w:rsidR="005A4A4A" w:rsidRPr="005A4A4A">
        <w:t xml:space="preserve"> listed in RCW 36.70A.030(</w:t>
      </w:r>
      <w:r w:rsidR="00CC6CF6">
        <w:t>[3</w:t>
      </w:r>
      <w:r w:rsidR="005A4A4A" w:rsidRPr="005A4A4A">
        <w:t>2</w:t>
      </w:r>
      <w:r w:rsidR="00CC6CF6">
        <w:t>]</w:t>
      </w:r>
      <w:r w:rsidR="005A4A4A" w:rsidRPr="005A4A4A">
        <w:t xml:space="preserve">), but are not necessarily limited to facilities falling under the </w:t>
      </w:r>
      <w:r w:rsidR="005A4A4A">
        <w:t>‘</w:t>
      </w:r>
      <w:r w:rsidR="005A4A4A" w:rsidRPr="005A4A4A">
        <w:t>public facilities</w:t>
      </w:r>
      <w:r w:rsidR="005A4A4A">
        <w:t>’</w:t>
      </w:r>
      <w:r w:rsidR="005A4A4A" w:rsidRPr="005A4A4A">
        <w:t xml:space="preserve"> definition.</w:t>
      </w:r>
      <w:r w:rsidR="005A4A4A">
        <w:t xml:space="preserve">” </w:t>
      </w:r>
      <w:r w:rsidR="00BD0D8A">
        <w:t>“‘</w:t>
      </w:r>
      <w:r w:rsidR="00F5181B" w:rsidRPr="00F5181B">
        <w:t>Public facilities</w:t>
      </w:r>
      <w:r w:rsidR="00BD0D8A">
        <w:t>’</w:t>
      </w:r>
      <w:r w:rsidR="00F5181B" w:rsidRPr="00F5181B">
        <w:t xml:space="preserve"> include </w:t>
      </w:r>
      <w:r w:rsidR="00A348E7">
        <w:t xml:space="preserve">… </w:t>
      </w:r>
      <w:r w:rsidR="00F5181B" w:rsidRPr="00F5181B">
        <w:t>domestic water systems</w:t>
      </w:r>
      <w:r w:rsidR="00A348E7">
        <w:t xml:space="preserve"> ….”</w:t>
      </w:r>
    </w:p>
    <w:p w14:paraId="46676AB5" w14:textId="77777777" w:rsidR="00E81944" w:rsidRDefault="00E81944" w:rsidP="00154384"/>
    <w:p w14:paraId="20DC27D2" w14:textId="16EF0A91" w:rsidR="00E81944" w:rsidRDefault="00E81944" w:rsidP="00154384">
      <w:r>
        <w:t>As part of planning for future growth, counties and cities should review available water resources to ensure they will have sufficient legal</w:t>
      </w:r>
      <w:r w:rsidR="00921E5A">
        <w:t>ly</w:t>
      </w:r>
      <w:r>
        <w:t xml:space="preserve"> and physical</w:t>
      </w:r>
      <w:r w:rsidR="00921E5A">
        <w:t xml:space="preserve">ly </w:t>
      </w:r>
      <w:r w:rsidR="0026244E">
        <w:t>available</w:t>
      </w:r>
      <w:r>
        <w:t xml:space="preserve"> water </w:t>
      </w:r>
      <w:r w:rsidR="00C15708">
        <w:t xml:space="preserve">to support </w:t>
      </w:r>
      <w:r w:rsidR="00921E5A">
        <w:t xml:space="preserve">their </w:t>
      </w:r>
      <w:r w:rsidR="00C15708">
        <w:t>population and employment projections</w:t>
      </w:r>
      <w:r w:rsidR="00990008">
        <w:t xml:space="preserve"> now and in the future</w:t>
      </w:r>
      <w:r w:rsidR="00C15708">
        <w:t xml:space="preserve">. </w:t>
      </w:r>
      <w:r w:rsidR="00247A15">
        <w:t>In consider</w:t>
      </w:r>
      <w:r w:rsidR="0026244E">
        <w:t>ing</w:t>
      </w:r>
      <w:r w:rsidR="00247A15">
        <w:t xml:space="preserve"> whether they will have sufficient physical water, the jurisdiction should consider the </w:t>
      </w:r>
      <w:r w:rsidR="00472E29">
        <w:t xml:space="preserve">ground water declines and </w:t>
      </w:r>
      <w:r w:rsidR="00BD5115">
        <w:t xml:space="preserve">changing </w:t>
      </w:r>
      <w:r w:rsidR="00472E29">
        <w:t xml:space="preserve">surface water flows documented in credible projections and scientific studies such as </w:t>
      </w:r>
      <w:r w:rsidR="00B262E6">
        <w:t xml:space="preserve">the State of Washington Department of </w:t>
      </w:r>
      <w:r w:rsidR="00A62720">
        <w:t xml:space="preserve">Ecology’s </w:t>
      </w:r>
      <w:r w:rsidR="00A62720" w:rsidRPr="00E35190">
        <w:rPr>
          <w:i/>
          <w:iCs/>
        </w:rPr>
        <w:t>2021 Washington State Legislative Report Columbia River Basin Long-Term Water Supply and Demand Forecast</w:t>
      </w:r>
      <w:r w:rsidR="00325B61">
        <w:rPr>
          <w:i/>
          <w:iCs/>
        </w:rPr>
        <w:t xml:space="preserve"> </w:t>
      </w:r>
      <w:r w:rsidR="00325B61" w:rsidRPr="00325B61">
        <w:t xml:space="preserve">which </w:t>
      </w:r>
      <w:r w:rsidR="00BA5BCF">
        <w:t xml:space="preserve">includes a </w:t>
      </w:r>
      <w:r w:rsidR="00BA5BCF" w:rsidRPr="00BA5BCF">
        <w:t xml:space="preserve">20-year forecast </w:t>
      </w:r>
      <w:r w:rsidR="009D423F">
        <w:t xml:space="preserve">that is </w:t>
      </w:r>
      <w:r w:rsidR="00BA5BCF" w:rsidRPr="00BA5BCF">
        <w:t>updated every five years</w:t>
      </w:r>
      <w:r w:rsidR="009D423F">
        <w:t>.</w:t>
      </w:r>
      <w:r w:rsidR="00325B61">
        <w:rPr>
          <w:rStyle w:val="FootnoteReference"/>
        </w:rPr>
        <w:footnoteReference w:id="21"/>
      </w:r>
      <w:r w:rsidR="0026244E">
        <w:t xml:space="preserve"> They should also consider senior water rights holders in their basin</w:t>
      </w:r>
      <w:r w:rsidR="00562410">
        <w:t>s</w:t>
      </w:r>
      <w:r w:rsidR="0026244E">
        <w:t xml:space="preserve"> including the Indian Tribes and Nations that </w:t>
      </w:r>
      <w:r w:rsidR="00B709A4">
        <w:t>i</w:t>
      </w:r>
      <w:r w:rsidR="00B709A4" w:rsidRPr="00B709A4">
        <w:t>n many watersheds</w:t>
      </w:r>
      <w:r w:rsidR="00B709A4">
        <w:t xml:space="preserve"> </w:t>
      </w:r>
      <w:r w:rsidR="00966CFD">
        <w:t>have the most senior water rights.</w:t>
      </w:r>
      <w:r w:rsidR="00B709A4">
        <w:rPr>
          <w:rStyle w:val="FootnoteReference"/>
        </w:rPr>
        <w:footnoteReference w:id="22"/>
      </w:r>
      <w:r w:rsidR="00966CFD">
        <w:t xml:space="preserve"> </w:t>
      </w:r>
      <w:r w:rsidR="001033CF">
        <w:t>In Washington State t</w:t>
      </w:r>
      <w:r w:rsidR="00966CFD">
        <w:t>hose rights are typically unqualified</w:t>
      </w:r>
      <w:r w:rsidR="006A4CB4">
        <w:t xml:space="preserve"> unless they have been adjudicated</w:t>
      </w:r>
      <w:r w:rsidR="00966CFD">
        <w:t xml:space="preserve">, </w:t>
      </w:r>
      <w:r w:rsidR="00C1599F">
        <w:t xml:space="preserve">but will </w:t>
      </w:r>
      <w:r w:rsidR="009D0CDF">
        <w:t xml:space="preserve">likely </w:t>
      </w:r>
      <w:r w:rsidR="00FF7DCE">
        <w:t xml:space="preserve">be quantified </w:t>
      </w:r>
      <w:r w:rsidR="00C71A0D">
        <w:t>through adjudications or other means</w:t>
      </w:r>
      <w:r w:rsidR="00FF7DCE">
        <w:t>.</w:t>
      </w:r>
    </w:p>
    <w:p w14:paraId="7B8F05D9" w14:textId="77777777" w:rsidR="00C612B8" w:rsidRDefault="00C612B8" w:rsidP="00154384"/>
    <w:p w14:paraId="0F4EE018" w14:textId="1F1B3B1C" w:rsidR="00C612B8" w:rsidRPr="00325B61" w:rsidRDefault="00C612B8" w:rsidP="00154384">
      <w:r w:rsidRPr="00C612B8">
        <w:t>RCW 36.70.330</w:t>
      </w:r>
      <w:r w:rsidR="00091A1C">
        <w:t>(1)</w:t>
      </w:r>
      <w:r>
        <w:t xml:space="preserve"> requires that the </w:t>
      </w:r>
      <w:r w:rsidR="00091A1C">
        <w:t xml:space="preserve">land use elements of </w:t>
      </w:r>
      <w:r>
        <w:t xml:space="preserve">comprehensive plans </w:t>
      </w:r>
      <w:r w:rsidR="00F74973">
        <w:t xml:space="preserve">for </w:t>
      </w:r>
      <w:r>
        <w:t xml:space="preserve">counties </w:t>
      </w:r>
      <w:r w:rsidR="00F74973">
        <w:t>and cities that d</w:t>
      </w:r>
      <w:r>
        <w:t xml:space="preserve">o not fully plan under the Growth Management Act </w:t>
      </w:r>
      <w:r w:rsidR="00F74973">
        <w:t>“</w:t>
      </w:r>
      <w:r w:rsidR="00F74973" w:rsidRPr="00F74973">
        <w:t>shall also provide for protection of the quality and quantity of groundwater used for public water supplies</w:t>
      </w:r>
      <w:r w:rsidR="00F74973">
        <w:t>.” This also requires consideration of existing and future water sources and whether they are</w:t>
      </w:r>
      <w:r w:rsidR="00714795">
        <w:t xml:space="preserve"> legally and </w:t>
      </w:r>
      <w:r w:rsidR="00F74973">
        <w:t xml:space="preserve">physically </w:t>
      </w:r>
      <w:r w:rsidR="00714795">
        <w:t>available.</w:t>
      </w:r>
    </w:p>
    <w:p w14:paraId="0053C6F9" w14:textId="175A584D" w:rsidR="00943BA4" w:rsidRPr="00E51261" w:rsidRDefault="0045507D" w:rsidP="00943BA4">
      <w:pPr>
        <w:pStyle w:val="Heading3"/>
      </w:pPr>
      <w:bookmarkStart w:id="1" w:name="_Ref163483879"/>
      <w:r>
        <w:lastRenderedPageBreak/>
        <w:t>C</w:t>
      </w:r>
      <w:r w:rsidR="00943BA4">
        <w:t xml:space="preserve">ounties </w:t>
      </w:r>
      <w:r>
        <w:t xml:space="preserve">are required </w:t>
      </w:r>
      <w:r w:rsidR="00943BA4" w:rsidRPr="00E51261">
        <w:t>to adopt water quantity regulations as part of the 202</w:t>
      </w:r>
      <w:r w:rsidR="00E57C68">
        <w:t xml:space="preserve">4 </w:t>
      </w:r>
      <w:r w:rsidR="008D3901">
        <w:t>–</w:t>
      </w:r>
      <w:r w:rsidR="00E57C68">
        <w:t xml:space="preserve"> </w:t>
      </w:r>
      <w:r w:rsidR="008D3901" w:rsidRPr="008D3901">
        <w:t>2027</w:t>
      </w:r>
      <w:r w:rsidR="00943BA4" w:rsidRPr="00E51261">
        <w:t xml:space="preserve"> comprehensive plan and development regulations update</w:t>
      </w:r>
      <w:r w:rsidR="008D3901">
        <w:t>s</w:t>
      </w:r>
      <w:r w:rsidR="00943BA4" w:rsidRPr="00E51261">
        <w:t>.</w:t>
      </w:r>
      <w:bookmarkEnd w:id="1"/>
    </w:p>
    <w:p w14:paraId="290500D8" w14:textId="77777777" w:rsidR="00943BA4" w:rsidRPr="00E51261" w:rsidRDefault="00943BA4" w:rsidP="00943BA4"/>
    <w:p w14:paraId="3FFE35C3" w14:textId="1D8ECCCD" w:rsidR="00943BA4" w:rsidRPr="00E51261" w:rsidRDefault="00A34DF5" w:rsidP="00943BA4">
      <w:r>
        <w:t xml:space="preserve">For fully planning counties, </w:t>
      </w:r>
      <w:r w:rsidR="00943BA4" w:rsidRPr="00E51261">
        <w:t>RCW 36.70A.070(1) provides that “[t]he land use element shall provide for protection of the quality and quantity of groundwater used for public water supplies.”</w:t>
      </w:r>
      <w:r>
        <w:rPr>
          <w:rStyle w:val="FootnoteReference"/>
        </w:rPr>
        <w:footnoteReference w:id="23"/>
      </w:r>
      <w:r w:rsidR="00943BA4" w:rsidRPr="00E51261">
        <w:t xml:space="preserve"> RCW 36.70A.070(5)(c)(iv) provides that “[t]he rural element shall include measures that apply to rural development and protect the rural character of the area, as established by the county, by: … Protecting surface water and groundwater resources.” The Growth Management Act (GMA) in RCW 36.70A.590 also provides that:</w:t>
      </w:r>
    </w:p>
    <w:p w14:paraId="16615328" w14:textId="77777777" w:rsidR="00943BA4" w:rsidRPr="00E51261" w:rsidRDefault="00943BA4" w:rsidP="00943BA4"/>
    <w:p w14:paraId="2EBFECCA" w14:textId="77777777" w:rsidR="00943BA4" w:rsidRPr="00E51261" w:rsidRDefault="00943BA4" w:rsidP="00943BA4">
      <w:pPr>
        <w:ind w:left="720" w:right="720"/>
        <w:rPr>
          <w:iCs/>
        </w:rPr>
      </w:pPr>
      <w:r w:rsidRPr="00E51261">
        <w:rPr>
          <w:iCs/>
        </w:rPr>
        <w:t>For the purposes of complying with the requirements of this chapter [the GMA] relating to surface and groundwater resources, a county or city may rely on or refer to applicable minimum instream flow rules adopted by the department of ecology under chapters 90.22 and 90.54 RCW. Development regulations must ensure that proposed water uses are consistent with RCW 90.44.050 and with applicable rules adopted pursuant to chapters 90.22 and 90.54 RCW when making decisions under RCW 19.27.097 and 58.17.110.</w:t>
      </w:r>
    </w:p>
    <w:p w14:paraId="13EBD142" w14:textId="77777777" w:rsidR="00943BA4" w:rsidRPr="00E51261" w:rsidRDefault="00943BA4" w:rsidP="00943BA4"/>
    <w:p w14:paraId="61822222" w14:textId="77777777" w:rsidR="00DA65EA" w:rsidRDefault="00943BA4" w:rsidP="00943BA4">
      <w:r w:rsidRPr="00E51261">
        <w:rPr>
          <w:iCs/>
        </w:rPr>
        <w:t>Development regulations must comply with the GMA including these requirements.</w:t>
      </w:r>
      <w:r w:rsidRPr="00E51261">
        <w:rPr>
          <w:iCs/>
          <w:sz w:val="22"/>
          <w:vertAlign w:val="superscript"/>
        </w:rPr>
        <w:footnoteReference w:id="24"/>
      </w:r>
      <w:r w:rsidRPr="00E51261">
        <w:rPr>
          <w:iCs/>
        </w:rPr>
        <w:t xml:space="preserve"> </w:t>
      </w:r>
      <w:r w:rsidRPr="00E51261">
        <w:t>These development regulations are required because overuse of surface or ground water often harms senior water rights holders and fish and wildlife habitat.</w:t>
      </w:r>
      <w:r w:rsidR="00DA65EA">
        <w:rPr>
          <w:rStyle w:val="FootnoteReference"/>
        </w:rPr>
        <w:footnoteReference w:id="25"/>
      </w:r>
    </w:p>
    <w:p w14:paraId="331A18C0" w14:textId="77777777" w:rsidR="00A1459E" w:rsidRDefault="00A1459E" w:rsidP="00943BA4"/>
    <w:p w14:paraId="429D6824" w14:textId="2FF457A7" w:rsidR="00B06131" w:rsidRDefault="00185221" w:rsidP="00943BA4">
      <w:r>
        <w:t xml:space="preserve">The Growth Management Act </w:t>
      </w:r>
      <w:r w:rsidR="005D6FAA">
        <w:t xml:space="preserve">now </w:t>
      </w:r>
      <w:r>
        <w:t>requires periodic updates to the comprehensive plan and development regulations every ten years.</w:t>
      </w:r>
      <w:r>
        <w:rPr>
          <w:rStyle w:val="FootnoteReference"/>
        </w:rPr>
        <w:footnoteReference w:id="26"/>
      </w:r>
      <w:r>
        <w:t xml:space="preserve"> </w:t>
      </w:r>
      <w:r w:rsidR="00B06131">
        <w:t xml:space="preserve">One of the purposes of the periodic updates to comprehensive plans and development regulations is to </w:t>
      </w:r>
      <w:r w:rsidR="00B06131">
        <w:lastRenderedPageBreak/>
        <w:t>incorporate provisions adopted since the last periodic update.</w:t>
      </w:r>
      <w:r w:rsidR="00B06131">
        <w:rPr>
          <w:rStyle w:val="FootnoteReference"/>
        </w:rPr>
        <w:footnoteReference w:id="27"/>
      </w:r>
      <w:r w:rsidR="00B06131">
        <w:t xml:space="preserve"> </w:t>
      </w:r>
      <w:r w:rsidR="00DB18EC">
        <w:t>T</w:t>
      </w:r>
      <w:r w:rsidR="00B06131">
        <w:t xml:space="preserve">he legislature adopted </w:t>
      </w:r>
      <w:r w:rsidR="00B06131" w:rsidRPr="00C21737">
        <w:t>RCW 36.70A.</w:t>
      </w:r>
      <w:bookmarkStart w:id="3" w:name="_Hlk197505288"/>
      <w:r w:rsidR="00B06131" w:rsidRPr="00C21737">
        <w:t>590</w:t>
      </w:r>
      <w:bookmarkEnd w:id="3"/>
      <w:r w:rsidR="00DB18EC">
        <w:t xml:space="preserve"> </w:t>
      </w:r>
      <w:r w:rsidR="005D6FAA">
        <w:t xml:space="preserve">in </w:t>
      </w:r>
      <w:r w:rsidR="005D6FAA" w:rsidRPr="005D6FAA">
        <w:t>2018</w:t>
      </w:r>
      <w:r w:rsidR="005D6FAA">
        <w:t>, after most of the last periodic updates</w:t>
      </w:r>
      <w:r w:rsidR="00775A32">
        <w:t xml:space="preserve"> were done</w:t>
      </w:r>
      <w:r w:rsidR="00B06131">
        <w:t>.</w:t>
      </w:r>
      <w:r w:rsidR="00B06131">
        <w:rPr>
          <w:rStyle w:val="FootnoteReference"/>
        </w:rPr>
        <w:footnoteReference w:id="28"/>
      </w:r>
    </w:p>
    <w:p w14:paraId="1D7AC691" w14:textId="77777777" w:rsidR="00DA65EA" w:rsidRDefault="00DA65EA" w:rsidP="00943BA4"/>
    <w:p w14:paraId="06973984" w14:textId="63CC0B0C" w:rsidR="00943BA4" w:rsidRPr="00E51261" w:rsidRDefault="00943BA4" w:rsidP="00943BA4">
      <w:r w:rsidRPr="00E51261">
        <w:t xml:space="preserve">To comply </w:t>
      </w:r>
      <w:r w:rsidR="00775A32">
        <w:t xml:space="preserve">with </w:t>
      </w:r>
      <w:r w:rsidRPr="00E51261">
        <w:t>RCW 36.70A.070(1), RCW 36.70A.070(5)(c)(iv), and RCW 36.70A.590, comprehensive plan</w:t>
      </w:r>
      <w:r w:rsidR="00775A32">
        <w:t>s</w:t>
      </w:r>
      <w:r w:rsidRPr="00E51261">
        <w:t xml:space="preserve"> and development regulations should adopt policies and regulations to ensure development complies with the water codes, the applicable instream flow rules, the watershed plan</w:t>
      </w:r>
      <w:r w:rsidR="00952B7C">
        <w:t>s</w:t>
      </w:r>
      <w:r w:rsidRPr="00E51261">
        <w:t xml:space="preserve"> updated under RCW 90.94.020, and the watershed restoration and enhancement plans required by RCW 90.94.030.</w:t>
      </w:r>
    </w:p>
    <w:p w14:paraId="72862F87" w14:textId="77777777" w:rsidR="00943BA4" w:rsidRPr="00E51261" w:rsidRDefault="00943BA4" w:rsidP="00943BA4"/>
    <w:p w14:paraId="20DA3F30" w14:textId="77777777" w:rsidR="00943BA4" w:rsidRPr="00E51261" w:rsidRDefault="00943BA4" w:rsidP="00943BA4">
      <w:pPr>
        <w:rPr>
          <w:rFonts w:eastAsia="Times New Roman"/>
        </w:rPr>
      </w:pPr>
      <w:bookmarkStart w:id="4" w:name="_Hlk159399758"/>
      <w:r w:rsidRPr="00E51261">
        <w:t xml:space="preserve">RCW 36.70A.590 </w:t>
      </w:r>
      <w:bookmarkEnd w:id="4"/>
      <w:r w:rsidRPr="00E51261">
        <w:t xml:space="preserve">requires the policies and development regulations to ensure that proposed water uses are consistent with </w:t>
      </w:r>
      <w:bookmarkStart w:id="5" w:name="_Hlk159399556"/>
      <w:r w:rsidRPr="00E51261">
        <w:t>RCW 90.44.050</w:t>
      </w:r>
      <w:bookmarkEnd w:id="5"/>
      <w:r w:rsidRPr="00E51261">
        <w:t>. To comply with RCW 90.44.050 for residential permit exempt wells, the policies and development regulations must require that the County when determining if a development, land division, or use qualifies for a permit exempt well under RCW 90.44.050 ensure that the water used by the parent parcel that existed in 2002, any lots created from the parent parcel, and any development built on or after 2002 on those lots does not in total exceed the 5,000 gallons a day allowed by RCW 90.44.050.</w:t>
      </w:r>
      <w:r w:rsidRPr="00E51261">
        <w:rPr>
          <w:rFonts w:eastAsia="Times New Roman"/>
        </w:rPr>
        <w:t xml:space="preserve"> Under the State Supreme Court’s </w:t>
      </w:r>
      <w:r w:rsidRPr="00E51261">
        <w:rPr>
          <w:rFonts w:eastAsia="Times New Roman"/>
          <w:i/>
          <w:iCs/>
        </w:rPr>
        <w:t>Campbell and Gwinn</w:t>
      </w:r>
      <w:r w:rsidRPr="00E51261">
        <w:rPr>
          <w:rFonts w:eastAsia="Times New Roman"/>
        </w:rPr>
        <w:t xml:space="preserve"> decision, each lot is entitled to </w:t>
      </w:r>
      <w:r w:rsidRPr="00E51261">
        <w:rPr>
          <w:rFonts w:eastAsia="Times New Roman"/>
          <w:u w:val="single"/>
        </w:rPr>
        <w:t>one</w:t>
      </w:r>
      <w:r w:rsidRPr="00E51261">
        <w:rPr>
          <w:rFonts w:eastAsia="Times New Roman"/>
        </w:rPr>
        <w:t xml:space="preserve"> 5,000 gallon per day permit exempt withdrawal for single or group domestic uses under RCW 90.44.050.</w:t>
      </w:r>
      <w:r w:rsidRPr="00E51261">
        <w:rPr>
          <w:rFonts w:eastAsia="Times New Roman"/>
          <w:vertAlign w:val="superscript"/>
        </w:rPr>
        <w:footnoteReference w:id="29"/>
      </w:r>
      <w:r w:rsidRPr="00E51261">
        <w:rPr>
          <w:rFonts w:eastAsia="Times New Roman"/>
        </w:rPr>
        <w:t xml:space="preserve"> A “developer may not claim multiple exemptions for the homeowners.”</w:t>
      </w:r>
      <w:r w:rsidRPr="00E51261">
        <w:rPr>
          <w:rFonts w:eastAsia="Times New Roman"/>
          <w:vertAlign w:val="superscript"/>
        </w:rPr>
        <w:footnoteReference w:id="30"/>
      </w:r>
      <w:r w:rsidRPr="00E51261">
        <w:rPr>
          <w:rFonts w:eastAsia="Times New Roman"/>
        </w:rPr>
        <w:t xml:space="preserve"> So each lot that existed in 2002, the year the </w:t>
      </w:r>
      <w:r w:rsidRPr="00E51261">
        <w:rPr>
          <w:rFonts w:eastAsia="Times New Roman"/>
          <w:i/>
          <w:iCs/>
        </w:rPr>
        <w:t>Campbell and Gwinn</w:t>
      </w:r>
      <w:r w:rsidRPr="00E51261">
        <w:rPr>
          <w:rFonts w:eastAsia="Times New Roman"/>
        </w:rPr>
        <w:t xml:space="preserve"> decision was decided, is entitled to one permit-exempt withdrawal under RCW 90.44.050.</w:t>
      </w:r>
    </w:p>
    <w:p w14:paraId="6FB6D2B3" w14:textId="77777777" w:rsidR="00943BA4" w:rsidRPr="00E51261" w:rsidRDefault="00943BA4" w:rsidP="00943BA4">
      <w:pPr>
        <w:rPr>
          <w:rFonts w:eastAsia="Times New Roman"/>
        </w:rPr>
      </w:pPr>
    </w:p>
    <w:p w14:paraId="53BE1B0E" w14:textId="77777777" w:rsidR="00943BA4" w:rsidRPr="00E51261" w:rsidRDefault="00943BA4" w:rsidP="00943BA4">
      <w:pPr>
        <w:rPr>
          <w:rFonts w:eastAsia="Times New Roman"/>
        </w:rPr>
      </w:pPr>
      <w:r w:rsidRPr="00E51261">
        <w:rPr>
          <w:rFonts w:eastAsia="Times New Roman"/>
        </w:rPr>
        <w:t>As lots are subdivided or developed over time, part or all of the permit exempt withdrawals are used by the lots created or the development authorized. To qualify for a permit-exempt groundwater withdrawal authorized under RCW 90.44.050, the lot must have some remaining water from the parent parcel’s single 5,000 gallon per day permit exempt withdrawal for single or group domestic uses.</w:t>
      </w:r>
    </w:p>
    <w:p w14:paraId="3F20D602" w14:textId="77777777" w:rsidR="00943BA4" w:rsidRPr="00E51261" w:rsidRDefault="00943BA4" w:rsidP="00943BA4">
      <w:pPr>
        <w:rPr>
          <w:rFonts w:eastAsia="Times New Roman"/>
          <w:bCs/>
        </w:rPr>
      </w:pPr>
    </w:p>
    <w:p w14:paraId="69BED01C" w14:textId="77777777" w:rsidR="00943BA4" w:rsidRPr="00E51261" w:rsidRDefault="00943BA4" w:rsidP="00943BA4">
      <w:pPr>
        <w:rPr>
          <w:bCs/>
        </w:rPr>
      </w:pPr>
      <w:r w:rsidRPr="00E51261">
        <w:rPr>
          <w:bCs/>
          <w:iCs/>
        </w:rPr>
        <w:t xml:space="preserve">Therefore, the required development regulations can only authorize the use of a permit exempt-well or well system for single or group domestic uses if the water use does not exceed the 5,000 gallons a day allowed by RCW 90.44.050 including the parent parcel that existed in 2002, any lots created from the parent parcel, and </w:t>
      </w:r>
      <w:r w:rsidRPr="00E51261">
        <w:rPr>
          <w:bCs/>
          <w:iCs/>
        </w:rPr>
        <w:lastRenderedPageBreak/>
        <w:t>any development built on or after 2002.</w:t>
      </w:r>
      <w:r w:rsidRPr="00E51261">
        <w:rPr>
          <w:bCs/>
        </w:rPr>
        <w:t xml:space="preserve"> To comply with RCW 36.70A.590, the proposed policies and development regulations must include this important limitation. Therefore, we recommend the water quantity development regulations comply with the applicable state water laws including limiting each lot that existed in 2002 to one permit-exempt withdrawal under RCW 90.44.050 including the water used by any land divisions or developments and also comply with RCW 36.70A.590.</w:t>
      </w:r>
    </w:p>
    <w:p w14:paraId="5842A3A7" w14:textId="77777777" w:rsidR="00943BA4" w:rsidRPr="00E51261" w:rsidRDefault="00943BA4" w:rsidP="00943BA4">
      <w:pPr>
        <w:rPr>
          <w:bCs/>
        </w:rPr>
      </w:pPr>
    </w:p>
    <w:p w14:paraId="0F8D2393" w14:textId="79DB6B87" w:rsidR="00943BA4" w:rsidRPr="00E51261" w:rsidRDefault="007222F8" w:rsidP="00943BA4">
      <w:pPr>
        <w:rPr>
          <w:bCs/>
        </w:rPr>
      </w:pPr>
      <w:r>
        <w:rPr>
          <w:bCs/>
        </w:rPr>
        <w:t>These regulations will protect senior water rights holders, instream</w:t>
      </w:r>
      <w:r w:rsidR="00BD56F8">
        <w:rPr>
          <w:bCs/>
        </w:rPr>
        <w:t xml:space="preserve"> flows, and fish and wildlife. </w:t>
      </w:r>
      <w:r w:rsidR="00943BA4" w:rsidRPr="00E51261">
        <w:rPr>
          <w:bCs/>
        </w:rPr>
        <w:t>Th</w:t>
      </w:r>
      <w:r>
        <w:rPr>
          <w:bCs/>
        </w:rPr>
        <w:t>ese</w:t>
      </w:r>
      <w:r w:rsidR="00943BA4" w:rsidRPr="00E51261">
        <w:rPr>
          <w:bCs/>
        </w:rPr>
        <w:t xml:space="preserve"> regulation</w:t>
      </w:r>
      <w:r>
        <w:rPr>
          <w:bCs/>
        </w:rPr>
        <w:t>s</w:t>
      </w:r>
      <w:r w:rsidR="00943BA4" w:rsidRPr="00E51261">
        <w:rPr>
          <w:bCs/>
        </w:rPr>
        <w:t xml:space="preserve"> also help to protect families that buy lots and houses that rely on permit exempt wells. Developments that are approved in violation of RCW 36.70A.590 and RCW 90.44.050 do not have a legal water right.</w:t>
      </w:r>
    </w:p>
    <w:p w14:paraId="04B86F82" w14:textId="77777777" w:rsidR="008F627F" w:rsidRDefault="008F627F" w:rsidP="00154384"/>
    <w:p w14:paraId="35E6F099" w14:textId="1720C963" w:rsidR="00D424DE" w:rsidRPr="00154384" w:rsidRDefault="00D424DE" w:rsidP="00154384">
      <w:r>
        <w:t xml:space="preserve">Counties that do not fully plan under the Growth Management Act must comply with </w:t>
      </w:r>
      <w:r w:rsidRPr="00D424DE">
        <w:t>RCW 36.70.692 which provides that “[f]or the purposes of complying with the requirements of this chapter, county development regulations must ensure that proposed water uses are consistent with RCW 90.44.050 and with applicable rules adopted pursuant to chapters 90.22 and 90.54 RCW when making decisions under RCW 19.27.097 and 58.17.110.”</w:t>
      </w:r>
      <w:r w:rsidR="00BC6CEA">
        <w:t xml:space="preserve"> So th</w:t>
      </w:r>
      <w:r w:rsidR="00A64C34">
        <w:t xml:space="preserve">ose counties </w:t>
      </w:r>
      <w:r w:rsidR="00BC6CEA">
        <w:t xml:space="preserve">have to </w:t>
      </w:r>
      <w:r w:rsidR="00A64C34">
        <w:t>adopt s</w:t>
      </w:r>
      <w:r w:rsidR="00BC6CEA">
        <w:t xml:space="preserve">imilar regulations </w:t>
      </w:r>
      <w:r w:rsidR="0089312F">
        <w:t xml:space="preserve">to ensure that </w:t>
      </w:r>
      <w:r w:rsidR="00BC6CEA">
        <w:t>water use on lots th</w:t>
      </w:r>
      <w:r w:rsidR="00AA15CD">
        <w:t>at</w:t>
      </w:r>
      <w:r w:rsidR="00BC6CEA">
        <w:t xml:space="preserve"> existed or were created after </w:t>
      </w:r>
      <w:r w:rsidR="00AA15CD">
        <w:t xml:space="preserve">the </w:t>
      </w:r>
      <w:r w:rsidR="00B208B2" w:rsidRPr="00AA15CD">
        <w:rPr>
          <w:i/>
          <w:iCs/>
        </w:rPr>
        <w:t>Campbell and Gwinn</w:t>
      </w:r>
      <w:r w:rsidR="00B208B2">
        <w:t xml:space="preserve"> </w:t>
      </w:r>
      <w:r w:rsidR="00AA15CD">
        <w:t xml:space="preserve">decision </w:t>
      </w:r>
      <w:r w:rsidR="00EB3123">
        <w:t xml:space="preserve">and use water from </w:t>
      </w:r>
      <w:r w:rsidR="00B208B2">
        <w:t xml:space="preserve">permit exempt wells also comply with </w:t>
      </w:r>
      <w:r w:rsidR="00B208B2" w:rsidRPr="00B208B2">
        <w:t>RCW 90.44.050</w:t>
      </w:r>
      <w:r w:rsidR="00B208B2">
        <w:t>.</w:t>
      </w:r>
    </w:p>
    <w:sectPr w:rsidR="00D424DE" w:rsidRPr="00154384">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D6C69A" w14:textId="77777777" w:rsidR="0015597F" w:rsidRDefault="0015597F" w:rsidP="0015597F">
      <w:r>
        <w:separator/>
      </w:r>
    </w:p>
  </w:endnote>
  <w:endnote w:type="continuationSeparator" w:id="0">
    <w:p w14:paraId="31D2EAB1" w14:textId="77777777" w:rsidR="0015597F" w:rsidRDefault="0015597F" w:rsidP="00155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itka Text">
    <w:panose1 w:val="00000000000000000000"/>
    <w:charset w:val="00"/>
    <w:family w:val="auto"/>
    <w:pitch w:val="variable"/>
    <w:sig w:usb0="A00002EF" w:usb1="4000204B" w:usb2="00000000" w:usb3="00000000" w:csb0="0000019F" w:csb1="00000000"/>
  </w:font>
  <w:font w:name="Aptos Display">
    <w:charset w:val="00"/>
    <w:family w:val="swiss"/>
    <w:pitch w:val="variable"/>
    <w:sig w:usb0="20000287" w:usb1="00000003" w:usb2="00000000" w:usb3="00000000" w:csb0="0000019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ヒラギノ角ゴ Pro W3">
    <w:altName w:val="MS Mincho"/>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5965857"/>
      <w:docPartObj>
        <w:docPartGallery w:val="Page Numbers (Bottom of Page)"/>
        <w:docPartUnique/>
      </w:docPartObj>
    </w:sdtPr>
    <w:sdtEndPr>
      <w:rPr>
        <w:noProof/>
      </w:rPr>
    </w:sdtEndPr>
    <w:sdtContent>
      <w:p w14:paraId="6627D760" w14:textId="09D7B80C" w:rsidR="00D424DE" w:rsidRDefault="00D424D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2D139C2" w14:textId="77777777" w:rsidR="00D424DE" w:rsidRDefault="00D424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CBE6BA" w14:textId="77777777" w:rsidR="0015597F" w:rsidRDefault="0015597F" w:rsidP="0015597F">
      <w:r>
        <w:separator/>
      </w:r>
    </w:p>
  </w:footnote>
  <w:footnote w:type="continuationSeparator" w:id="0">
    <w:p w14:paraId="4E438453" w14:textId="77777777" w:rsidR="0015597F" w:rsidRDefault="0015597F" w:rsidP="0015597F">
      <w:r>
        <w:continuationSeparator/>
      </w:r>
    </w:p>
  </w:footnote>
  <w:footnote w:id="1">
    <w:p w14:paraId="463EDB12" w14:textId="3D0F80C8" w:rsidR="001448CD" w:rsidRDefault="001448CD">
      <w:pPr>
        <w:pStyle w:val="FootnoteText"/>
      </w:pPr>
      <w:r>
        <w:rPr>
          <w:rStyle w:val="FootnoteReference"/>
        </w:rPr>
        <w:footnoteRef/>
      </w:r>
      <w:r>
        <w:t xml:space="preserve"> </w:t>
      </w:r>
      <w:r w:rsidRPr="001448CD">
        <w:rPr>
          <w:i/>
          <w:iCs/>
        </w:rPr>
        <w:t>Dep't of Ecology v. U.S. Bureau of Reclamation</w:t>
      </w:r>
      <w:r>
        <w:t>, 118 Wn.2d 761, 766, 827 P.2d 275, 278 (1992)</w:t>
      </w:r>
      <w:r w:rsidRPr="001448CD">
        <w:t>.</w:t>
      </w:r>
    </w:p>
  </w:footnote>
  <w:footnote w:id="2">
    <w:p w14:paraId="24B00F7B" w14:textId="3D28D48B" w:rsidR="007E053B" w:rsidRDefault="007E053B">
      <w:pPr>
        <w:pStyle w:val="FootnoteText"/>
      </w:pPr>
      <w:r>
        <w:rPr>
          <w:rStyle w:val="FootnoteReference"/>
        </w:rPr>
        <w:footnoteRef/>
      </w:r>
      <w:r>
        <w:t xml:space="preserve"> </w:t>
      </w:r>
      <w:r w:rsidR="00524703" w:rsidRPr="00383BCF">
        <w:rPr>
          <w:i/>
          <w:iCs/>
        </w:rPr>
        <w:t>Dep't of Ecology</w:t>
      </w:r>
      <w:r w:rsidR="00B35F0A">
        <w:t xml:space="preserve">, </w:t>
      </w:r>
      <w:r w:rsidR="00524703" w:rsidRPr="00524703">
        <w:t>118 W</w:t>
      </w:r>
      <w:r w:rsidR="00B35F0A">
        <w:t>n</w:t>
      </w:r>
      <w:r w:rsidR="00524703" w:rsidRPr="00524703">
        <w:t xml:space="preserve">.2d </w:t>
      </w:r>
      <w:r w:rsidR="00A72F95">
        <w:t>at</w:t>
      </w:r>
      <w:r w:rsidR="00524703" w:rsidRPr="00524703">
        <w:t xml:space="preserve"> 766, 827 P.2d </w:t>
      </w:r>
      <w:r w:rsidR="00A72F95">
        <w:t>at</w:t>
      </w:r>
      <w:r w:rsidR="00524703" w:rsidRPr="00524703">
        <w:t xml:space="preserve"> 278–79</w:t>
      </w:r>
      <w:r w:rsidR="00A72F95">
        <w:t>.</w:t>
      </w:r>
    </w:p>
  </w:footnote>
  <w:footnote w:id="3">
    <w:p w14:paraId="4F71902E" w14:textId="293E422A" w:rsidR="0015597F" w:rsidRDefault="0015597F" w:rsidP="0015597F">
      <w:pPr>
        <w:pStyle w:val="FootnoteText"/>
      </w:pPr>
      <w:r>
        <w:rPr>
          <w:rStyle w:val="FootnoteReference"/>
          <w:rFonts w:eastAsiaTheme="majorEastAsia"/>
        </w:rPr>
        <w:footnoteRef/>
      </w:r>
      <w:r>
        <w:t xml:space="preserve"> </w:t>
      </w:r>
      <w:r w:rsidRPr="000B4783">
        <w:t>Conrad Swanson</w:t>
      </w:r>
      <w:r>
        <w:t xml:space="preserve">, </w:t>
      </w:r>
      <w:r w:rsidRPr="00007B9F">
        <w:rPr>
          <w:i/>
          <w:iCs/>
        </w:rPr>
        <w:t>Trump keeps talking about taking PNW water — is that possible?</w:t>
      </w:r>
      <w:r>
        <w:t xml:space="preserve"> </w:t>
      </w:r>
      <w:r w:rsidRPr="00325B93">
        <w:rPr>
          <w:u w:val="single"/>
        </w:rPr>
        <w:t>The Seattle Times</w:t>
      </w:r>
      <w:r>
        <w:t xml:space="preserve"> (Updated Feb. 23, 2025 at 7:00 am) last accessed on </w:t>
      </w:r>
      <w:r w:rsidR="00CA5EA3">
        <w:t>May 12, 2025</w:t>
      </w:r>
      <w:r>
        <w:t xml:space="preserve">, at: </w:t>
      </w:r>
      <w:hyperlink r:id="rId1" w:history="1">
        <w:r w:rsidRPr="00A214BD">
          <w:rPr>
            <w:rStyle w:val="Hyperlink"/>
            <w:rFonts w:eastAsiaTheme="majorEastAsia"/>
          </w:rPr>
          <w:t>https://www.seattletimes.com/seattle-news/climate-lab/trump-keeps-talking-about-taking-pnw-water-is-that-possible/</w:t>
        </w:r>
      </w:hyperlink>
      <w:r>
        <w:t>.</w:t>
      </w:r>
    </w:p>
  </w:footnote>
  <w:footnote w:id="4">
    <w:p w14:paraId="7C44100D" w14:textId="55493E40" w:rsidR="00DD2AE2" w:rsidRDefault="00DD2AE2" w:rsidP="00FF20BA">
      <w:pPr>
        <w:pStyle w:val="FootnoteText"/>
      </w:pPr>
      <w:r>
        <w:rPr>
          <w:rStyle w:val="FootnoteReference"/>
        </w:rPr>
        <w:footnoteRef/>
      </w:r>
      <w:r>
        <w:t xml:space="preserve"> Hall, S.A., Adam, J.C., Yourek, M.A., Whittemore, A.M., Yorgey, G.G., Scarpare, F., Liu, M., McLarty, S., Asante-Sasu, C., McClure, S., Turk, J., Haller, D., Padowski, J., Deshar, R., Brady, M.P., Rajagopalan, K., Barber, M.E., Weber, R., Stockle, C.O., Goodspeed, H.L., Gustine, R.N., Kondal, A., Yoder, J., Deaver, B., Downes, M., Tarbutton, S., Callahan, M., Price, P. Roberts, T., Stephens, J., Valdez, W., </w:t>
      </w:r>
      <w:r w:rsidRPr="00E35190">
        <w:rPr>
          <w:i/>
          <w:iCs/>
        </w:rPr>
        <w:t>2021 Washington State Legislative Report Columbia River Basin Long-Term Water Supply and Demand Forecast</w:t>
      </w:r>
      <w:r>
        <w:t xml:space="preserve"> p. </w:t>
      </w:r>
      <w:r w:rsidR="00C2623C" w:rsidRPr="00C2623C">
        <w:t>ES-5</w:t>
      </w:r>
      <w:r w:rsidR="00C2623C">
        <w:t xml:space="preserve"> </w:t>
      </w:r>
      <w:r w:rsidR="00D4758A">
        <w:t>(</w:t>
      </w:r>
      <w:r>
        <w:t>Publication No. 21-12-006</w:t>
      </w:r>
      <w:r w:rsidR="00D4758A">
        <w:t xml:space="preserve">, </w:t>
      </w:r>
      <w:r>
        <w:t>Washington Department of Ecology, Olympia, WA.</w:t>
      </w:r>
      <w:r w:rsidR="00D4758A">
        <w:t>:</w:t>
      </w:r>
      <w:r>
        <w:t xml:space="preserve"> </w:t>
      </w:r>
      <w:r w:rsidRPr="00DD2AE2">
        <w:t>2022</w:t>
      </w:r>
      <w:r w:rsidR="00D4758A">
        <w:t xml:space="preserve">) last accessed </w:t>
      </w:r>
      <w:r w:rsidR="00FF20BA">
        <w:t xml:space="preserve">on May 12, 2025, at: </w:t>
      </w:r>
      <w:hyperlink r:id="rId2" w:history="1">
        <w:r w:rsidR="00FF20BA" w:rsidRPr="004960BE">
          <w:rPr>
            <w:rStyle w:val="Hyperlink"/>
          </w:rPr>
          <w:t>https://apps.ecology.wa.gov/publications/SummaryPages/2112006.html</w:t>
        </w:r>
      </w:hyperlink>
      <w:r w:rsidR="00FF20BA">
        <w:t>.</w:t>
      </w:r>
    </w:p>
  </w:footnote>
  <w:footnote w:id="5">
    <w:p w14:paraId="2F762946" w14:textId="7A2A987F" w:rsidR="00AE281A" w:rsidRDefault="00AE281A" w:rsidP="00AE281A">
      <w:pPr>
        <w:pStyle w:val="FootnoteText"/>
      </w:pPr>
      <w:r>
        <w:rPr>
          <w:rStyle w:val="FootnoteReference"/>
          <w:rFonts w:eastAsiaTheme="majorEastAsia"/>
        </w:rPr>
        <w:footnoteRef/>
      </w:r>
      <w:r>
        <w:t xml:space="preserve"> </w:t>
      </w:r>
      <w:r w:rsidRPr="00F511E0">
        <w:t>Mike Prager</w:t>
      </w:r>
      <w:r>
        <w:t>,</w:t>
      </w:r>
      <w:r w:rsidRPr="00F511E0">
        <w:t xml:space="preserve"> </w:t>
      </w:r>
      <w:r w:rsidRPr="00F511E0">
        <w:rPr>
          <w:i/>
        </w:rPr>
        <w:t>Private wells aren’t able to keep up with increased demand: Especially as housing development takes over more and more farmland</w:t>
      </w:r>
      <w:r>
        <w:t xml:space="preserve"> </w:t>
      </w:r>
      <w:r w:rsidRPr="00F511E0">
        <w:rPr>
          <w:u w:val="single"/>
        </w:rPr>
        <w:t>The Spokesman-Review</w:t>
      </w:r>
      <w:r w:rsidRPr="00F511E0">
        <w:t xml:space="preserve"> </w:t>
      </w:r>
      <w:r>
        <w:t>(</w:t>
      </w:r>
      <w:r w:rsidRPr="000D1BE0">
        <w:t>Jan</w:t>
      </w:r>
      <w:r>
        <w:t>.</w:t>
      </w:r>
      <w:r w:rsidRPr="000D1BE0">
        <w:t xml:space="preserve"> 13, 2013</w:t>
      </w:r>
      <w:r>
        <w:t xml:space="preserve">) </w:t>
      </w:r>
      <w:r w:rsidR="00146A91">
        <w:t xml:space="preserve">last </w:t>
      </w:r>
      <w:r>
        <w:t xml:space="preserve">accessed on </w:t>
      </w:r>
      <w:r w:rsidR="00146A91">
        <w:t>May 12, 2025,</w:t>
      </w:r>
      <w:r w:rsidRPr="00B11FA7">
        <w:t xml:space="preserve"> </w:t>
      </w:r>
      <w:r>
        <w:t xml:space="preserve">at: </w:t>
      </w:r>
      <w:hyperlink r:id="rId3" w:history="1">
        <w:r w:rsidRPr="005919D7">
          <w:rPr>
            <w:rStyle w:val="Hyperlink"/>
            <w:rFonts w:eastAsiaTheme="majorEastAsia"/>
          </w:rPr>
          <w:t>http://www.spokesman.com/stories/2013/jan/13/water-wait/</w:t>
        </w:r>
      </w:hyperlink>
      <w:r>
        <w:t xml:space="preserve"> </w:t>
      </w:r>
    </w:p>
  </w:footnote>
  <w:footnote w:id="6">
    <w:p w14:paraId="631A2ACF" w14:textId="337B1F2B" w:rsidR="00AE281A" w:rsidRDefault="00AE281A" w:rsidP="00AE281A">
      <w:pPr>
        <w:pStyle w:val="FootnoteText"/>
      </w:pPr>
      <w:r>
        <w:rPr>
          <w:rStyle w:val="FootnoteReference"/>
          <w:rFonts w:eastAsiaTheme="majorEastAsia"/>
        </w:rPr>
        <w:footnoteRef/>
      </w:r>
      <w:r>
        <w:t xml:space="preserve"> </w:t>
      </w:r>
      <w:r w:rsidRPr="009D6F86">
        <w:t>Shannon Dininny</w:t>
      </w:r>
      <w:r>
        <w:t xml:space="preserve">, Associated Press, </w:t>
      </w:r>
      <w:r w:rsidRPr="00A13EE4">
        <w:rPr>
          <w:i/>
        </w:rPr>
        <w:t xml:space="preserve">Columbia Plateau aquifers declining: Crisis looming for three-state area, report says </w:t>
      </w:r>
      <w:r w:rsidRPr="00A13EE4">
        <w:rPr>
          <w:u w:val="single"/>
        </w:rPr>
        <w:t>The Spokesman-Review</w:t>
      </w:r>
      <w:r>
        <w:t xml:space="preserve"> (Feb. 6, 2013) </w:t>
      </w:r>
      <w:r w:rsidR="006C32AF">
        <w:t xml:space="preserve">last </w:t>
      </w:r>
      <w:r>
        <w:t xml:space="preserve">accessed on </w:t>
      </w:r>
      <w:r w:rsidR="00383BCF">
        <w:t>May 12, 2025,</w:t>
      </w:r>
      <w:r>
        <w:t xml:space="preserve"> at: </w:t>
      </w:r>
      <w:hyperlink r:id="rId4" w:history="1">
        <w:r w:rsidRPr="005919D7">
          <w:rPr>
            <w:rStyle w:val="Hyperlink"/>
            <w:rFonts w:eastAsiaTheme="majorEastAsia"/>
          </w:rPr>
          <w:t>http://www.spokesman.com/stories/2013/feb/06/columbia-plateau-aquifers-declining/</w:t>
        </w:r>
      </w:hyperlink>
      <w:r w:rsidR="00383BCF">
        <w:t>.</w:t>
      </w:r>
    </w:p>
  </w:footnote>
  <w:footnote w:id="7">
    <w:p w14:paraId="2E280111" w14:textId="1DE9CA66" w:rsidR="006E280F" w:rsidRDefault="006E280F">
      <w:pPr>
        <w:pStyle w:val="FootnoteText"/>
      </w:pPr>
      <w:r>
        <w:rPr>
          <w:rStyle w:val="FootnoteReference"/>
        </w:rPr>
        <w:footnoteRef/>
      </w:r>
      <w:r>
        <w:t xml:space="preserve"> Hall, S.A., Adam, J.C., Yourek, M.A., Whittemore, A.M., Yorgey, G.G., Scarpare, F., Liu, M., McLarty, S., Asante-Sasu, C., McClure, S., Turk, J., Haller, D., Padowski, J., Deshar, R., Brady, M.P., Rajagopalan, K., Barber, M.E., Weber, R., Stockle, C.O., Goodspeed, H.L., Gustine, R.N., Kondal, A., Yoder, J., Deaver, B., Downes, M., Tarbutton, S., Callahan, M., Price, P. Roberts, T., Stephens, J., Valdez, W., </w:t>
      </w:r>
      <w:r w:rsidRPr="00E35190">
        <w:rPr>
          <w:i/>
          <w:iCs/>
        </w:rPr>
        <w:t>2021 Washington State Legislative Report Columbia River Basin Long-Term Water Supply and Demand Forecast</w:t>
      </w:r>
      <w:r>
        <w:t xml:space="preserve"> p. </w:t>
      </w:r>
      <w:r w:rsidRPr="00C2623C">
        <w:t>ES-</w:t>
      </w:r>
      <w:r w:rsidR="00A25EF9">
        <w:t>3</w:t>
      </w:r>
      <w:r>
        <w:t xml:space="preserve"> (Publication No. 21-12-006, Washington Department of Ecology, Olympia, WA.: </w:t>
      </w:r>
      <w:r w:rsidRPr="00DD2AE2">
        <w:t>2022</w:t>
      </w:r>
      <w:r>
        <w:t>)</w:t>
      </w:r>
      <w:r w:rsidR="00A25EF9">
        <w:t>.</w:t>
      </w:r>
    </w:p>
  </w:footnote>
  <w:footnote w:id="8">
    <w:p w14:paraId="6B6D3553" w14:textId="44DFD591" w:rsidR="00B15103" w:rsidRDefault="00B15103">
      <w:pPr>
        <w:pStyle w:val="FootnoteText"/>
      </w:pPr>
      <w:r>
        <w:rPr>
          <w:rStyle w:val="FootnoteReference"/>
        </w:rPr>
        <w:footnoteRef/>
      </w:r>
      <w:r>
        <w:t xml:space="preserve"> </w:t>
      </w:r>
      <w:r w:rsidRPr="004E2516">
        <w:rPr>
          <w:i/>
          <w:iCs/>
        </w:rPr>
        <w:t>Id.</w:t>
      </w:r>
      <w:r>
        <w:t xml:space="preserve"> </w:t>
      </w:r>
      <w:r w:rsidR="004E2516">
        <w:t>p. ES-5.</w:t>
      </w:r>
    </w:p>
  </w:footnote>
  <w:footnote w:id="9">
    <w:p w14:paraId="6300B260" w14:textId="3BFF16D6" w:rsidR="003F6298" w:rsidRDefault="003F6298">
      <w:pPr>
        <w:pStyle w:val="FootnoteText"/>
      </w:pPr>
      <w:r>
        <w:rPr>
          <w:rStyle w:val="FootnoteReference"/>
        </w:rPr>
        <w:footnoteRef/>
      </w:r>
      <w:r>
        <w:t xml:space="preserve"> </w:t>
      </w:r>
      <w:r w:rsidR="007D3D95" w:rsidRPr="007D3D95">
        <w:rPr>
          <w:i/>
          <w:iCs/>
        </w:rPr>
        <w:t>Id.</w:t>
      </w:r>
      <w:r w:rsidR="007D3D95">
        <w:t xml:space="preserve"> p. </w:t>
      </w:r>
      <w:r w:rsidR="007D3D95" w:rsidRPr="007D3D95">
        <w:t>ES-6</w:t>
      </w:r>
      <w:r w:rsidR="007D3D95">
        <w:t>.</w:t>
      </w:r>
    </w:p>
  </w:footnote>
  <w:footnote w:id="10">
    <w:p w14:paraId="76516F86" w14:textId="78BD775B" w:rsidR="00AE281A" w:rsidRDefault="00AE281A" w:rsidP="00AE281A">
      <w:pPr>
        <w:pStyle w:val="FootnoteText"/>
      </w:pPr>
      <w:r>
        <w:rPr>
          <w:rStyle w:val="FootnoteReference"/>
          <w:rFonts w:eastAsiaTheme="majorEastAsia"/>
        </w:rPr>
        <w:footnoteRef/>
      </w:r>
      <w:r>
        <w:t xml:space="preserve"> </w:t>
      </w:r>
      <w:r w:rsidRPr="00013C1D">
        <w:t>State of Washington Department of Ecology</w:t>
      </w:r>
      <w:r>
        <w:t>,</w:t>
      </w:r>
      <w:r w:rsidRPr="00013C1D">
        <w:t xml:space="preserve"> </w:t>
      </w:r>
      <w:r w:rsidRPr="00F0012C">
        <w:rPr>
          <w:i/>
        </w:rPr>
        <w:t>Sumas-Blaine Aquifer Nitrate Contamination Summary</w:t>
      </w:r>
      <w:r>
        <w:t xml:space="preserve"> p. 27 (</w:t>
      </w:r>
      <w:r w:rsidRPr="00013C1D">
        <w:t>Publication No. 12-03-026</w:t>
      </w:r>
      <w:r>
        <w:t>: June 2012, revised February 2013)</w:t>
      </w:r>
      <w:r w:rsidRPr="00013C1D">
        <w:t xml:space="preserve"> </w:t>
      </w:r>
      <w:r w:rsidR="001A37EA">
        <w:t xml:space="preserve">last </w:t>
      </w:r>
      <w:r>
        <w:t xml:space="preserve">accessed on </w:t>
      </w:r>
      <w:r w:rsidR="001A37EA">
        <w:t>May 12, 2025,</w:t>
      </w:r>
      <w:r>
        <w:t xml:space="preserve"> at: </w:t>
      </w:r>
      <w:hyperlink r:id="rId5" w:history="1">
        <w:r w:rsidRPr="005919D7">
          <w:rPr>
            <w:rStyle w:val="Hyperlink"/>
            <w:rFonts w:eastAsiaTheme="majorEastAsia"/>
          </w:rPr>
          <w:t>https://fortress.wa.gov/ecy/publications/SummaryPages/1203026.html</w:t>
        </w:r>
      </w:hyperlink>
      <w:r>
        <w:t xml:space="preserve">; Washington State Departments of Agriculture, Ecology, Health, Yakima County Public Works Department, and US Environmental Protection Agency, </w:t>
      </w:r>
      <w:r w:rsidRPr="00501D9F">
        <w:rPr>
          <w:i/>
        </w:rPr>
        <w:t>Lower Yakima Valley Groundwater Quality: Preliminary Assessment and Recommendations Document</w:t>
      </w:r>
      <w:r>
        <w:t xml:space="preserve"> p. ES-2, p. 12 (Publication 10-10-009: Feb. 2010) </w:t>
      </w:r>
      <w:r w:rsidR="00A7590B">
        <w:t xml:space="preserve">last </w:t>
      </w:r>
      <w:r>
        <w:t xml:space="preserve">accessed on </w:t>
      </w:r>
      <w:r w:rsidR="00C873EC">
        <w:t>Ma</w:t>
      </w:r>
      <w:r w:rsidR="00A7590B">
        <w:t xml:space="preserve">y 12, 2025, </w:t>
      </w:r>
      <w:r>
        <w:t xml:space="preserve">at: </w:t>
      </w:r>
      <w:hyperlink r:id="rId6" w:history="1">
        <w:r w:rsidRPr="005919D7">
          <w:rPr>
            <w:rStyle w:val="Hyperlink"/>
            <w:rFonts w:eastAsiaTheme="majorEastAsia"/>
          </w:rPr>
          <w:t>https://fortress.wa.gov/ecy/publications/SummaryPages/1010009.html</w:t>
        </w:r>
      </w:hyperlink>
      <w:r>
        <w:t>;</w:t>
      </w:r>
      <w:r w:rsidRPr="00DD66B9">
        <w:t xml:space="preserve"> Economic and Engineering Services, Inc.</w:t>
      </w:r>
      <w:r>
        <w:t xml:space="preserve">, Technical Memorandum Review of Existing Groundwater Nitrate Studies Task 3 – Walla Walla Water Quality Assessment pp. 4 – 5 (Draft Report: June 2003) </w:t>
      </w:r>
      <w:r w:rsidR="00D1211D">
        <w:t xml:space="preserve">last </w:t>
      </w:r>
      <w:r>
        <w:t xml:space="preserve">accessed </w:t>
      </w:r>
      <w:r w:rsidR="00551CC6">
        <w:t>on May 12, 2025,</w:t>
      </w:r>
      <w:r w:rsidRPr="005E5A67">
        <w:t xml:space="preserve"> </w:t>
      </w:r>
      <w:r>
        <w:t xml:space="preserve">at: </w:t>
      </w:r>
      <w:hyperlink r:id="rId7" w:history="1">
        <w:r w:rsidRPr="005919D7">
          <w:rPr>
            <w:rStyle w:val="Hyperlink"/>
            <w:rFonts w:eastAsiaTheme="majorEastAsia"/>
          </w:rPr>
          <w:t>https://fortress.wa.gov/ecy/publications/publications/1203306.pdf</w:t>
        </w:r>
      </w:hyperlink>
      <w:r>
        <w:t xml:space="preserve"> </w:t>
      </w:r>
    </w:p>
  </w:footnote>
  <w:footnote w:id="11">
    <w:p w14:paraId="23BE4302" w14:textId="116EB87F" w:rsidR="0072414E" w:rsidRDefault="0072414E">
      <w:pPr>
        <w:pStyle w:val="FootnoteText"/>
      </w:pPr>
      <w:r>
        <w:rPr>
          <w:rStyle w:val="FootnoteReference"/>
        </w:rPr>
        <w:footnoteRef/>
      </w:r>
      <w:r>
        <w:t xml:space="preserve"> </w:t>
      </w:r>
      <w:r w:rsidR="000A1B33">
        <w:t xml:space="preserve">Washington State Department of Health, </w:t>
      </w:r>
      <w:r w:rsidR="000A1B33" w:rsidRPr="000A1B33">
        <w:t>PFAS Testing Results Dashboard</w:t>
      </w:r>
      <w:r w:rsidR="000A1B33">
        <w:t xml:space="preserve"> last accessed on </w:t>
      </w:r>
      <w:r w:rsidR="00B80678">
        <w:t xml:space="preserve">May 12, 2025, at: </w:t>
      </w:r>
      <w:hyperlink r:id="rId8" w:history="1">
        <w:r w:rsidR="00B80678" w:rsidRPr="004960BE">
          <w:rPr>
            <w:rStyle w:val="Hyperlink"/>
          </w:rPr>
          <w:t>https://doh.wa.gov/data-and-statistical-reports/washington-tracking-network-wtn/pfas/dashboard</w:t>
        </w:r>
      </w:hyperlink>
      <w:r w:rsidR="00B80678">
        <w:t>.</w:t>
      </w:r>
    </w:p>
  </w:footnote>
  <w:footnote w:id="12">
    <w:p w14:paraId="34D9AC7B" w14:textId="02B71CC8" w:rsidR="000341CC" w:rsidRDefault="000341CC">
      <w:pPr>
        <w:pStyle w:val="FootnoteText"/>
      </w:pPr>
      <w:r>
        <w:rPr>
          <w:rStyle w:val="FootnoteReference"/>
        </w:rPr>
        <w:footnoteRef/>
      </w:r>
      <w:r>
        <w:t xml:space="preserve"> </w:t>
      </w:r>
      <w:r w:rsidRPr="000341CC">
        <w:t>RCW 36.70A.170</w:t>
      </w:r>
      <w:r>
        <w:t xml:space="preserve">; </w:t>
      </w:r>
      <w:r w:rsidRPr="000341CC">
        <w:t>RCW 36.70A.060</w:t>
      </w:r>
      <w:r>
        <w:t>(2).</w:t>
      </w:r>
    </w:p>
  </w:footnote>
  <w:footnote w:id="13">
    <w:p w14:paraId="1B16E437" w14:textId="2CAAA68D" w:rsidR="003D407D" w:rsidRDefault="003D407D">
      <w:pPr>
        <w:pStyle w:val="FootnoteText"/>
      </w:pPr>
      <w:r>
        <w:rPr>
          <w:rStyle w:val="FootnoteReference"/>
        </w:rPr>
        <w:footnoteRef/>
      </w:r>
      <w:r>
        <w:t xml:space="preserve"> </w:t>
      </w:r>
      <w:r w:rsidRPr="004E2B6A">
        <w:t>D.A. Sampson, Ray Quay, and Mitch Horrie</w:t>
      </w:r>
      <w:r>
        <w:t>,</w:t>
      </w:r>
      <w:r w:rsidRPr="004E2B6A">
        <w:t xml:space="preserve"> </w:t>
      </w:r>
      <w:r w:rsidRPr="004E2B6A">
        <w:rPr>
          <w:i/>
          <w:iCs/>
        </w:rPr>
        <w:t>Building type, housing density, and water use: Denver Water data and agent-based simulations</w:t>
      </w:r>
      <w:r>
        <w:t xml:space="preserve"> 58 </w:t>
      </w:r>
      <w:bookmarkStart w:id="0" w:name="_Hlk197944712"/>
      <w:r w:rsidRPr="00617757">
        <w:rPr>
          <w:smallCaps/>
        </w:rPr>
        <w:t>Journal of the American Water Resources Association</w:t>
      </w:r>
      <w:r w:rsidRPr="00495529">
        <w:t xml:space="preserve"> </w:t>
      </w:r>
      <w:bookmarkEnd w:id="0"/>
      <w:r>
        <w:t>355 p. 35</w:t>
      </w:r>
      <w:r w:rsidR="004E7425">
        <w:t>5</w:t>
      </w:r>
      <w:r>
        <w:t xml:space="preserve"> (2022) last accessed on May 12, 2025, at: </w:t>
      </w:r>
      <w:hyperlink r:id="rId9" w:history="1">
        <w:r w:rsidRPr="004960BE">
          <w:rPr>
            <w:rStyle w:val="Hyperlink"/>
          </w:rPr>
          <w:t>https://asu.elsevierpure.com/en/publications/building-type-housing-density-and-water-use-denver-water-data-and</w:t>
        </w:r>
      </w:hyperlink>
      <w:r w:rsidR="006C15E7">
        <w:t>.</w:t>
      </w:r>
      <w:r w:rsidR="002B5203">
        <w:t xml:space="preserve"> </w:t>
      </w:r>
      <w:r w:rsidR="0072330D">
        <w:t xml:space="preserve">The </w:t>
      </w:r>
      <w:r w:rsidR="0072330D" w:rsidRPr="0072330D">
        <w:t xml:space="preserve">Journal </w:t>
      </w:r>
      <w:r w:rsidR="0072330D">
        <w:t>o</w:t>
      </w:r>
      <w:r w:rsidR="0072330D" w:rsidRPr="0072330D">
        <w:t xml:space="preserve">f </w:t>
      </w:r>
      <w:r w:rsidR="0072330D">
        <w:t>t</w:t>
      </w:r>
      <w:r w:rsidR="0072330D" w:rsidRPr="0072330D">
        <w:t xml:space="preserve">he American Water Resources Association </w:t>
      </w:r>
      <w:r w:rsidR="0072330D">
        <w:t>(</w:t>
      </w:r>
      <w:r w:rsidR="006E6F40">
        <w:t xml:space="preserve">JAWRA) </w:t>
      </w:r>
      <w:r w:rsidR="0072330D">
        <w:t xml:space="preserve">is peer reviewed. </w:t>
      </w:r>
      <w:r w:rsidR="002B5203" w:rsidRPr="002B5203">
        <w:t>JAWRA Instructions for Authors</w:t>
      </w:r>
      <w:r w:rsidR="002B5203">
        <w:t xml:space="preserve"> webpage last accessed on </w:t>
      </w:r>
      <w:r w:rsidR="0072330D">
        <w:t xml:space="preserve">May 12, 2025, at: </w:t>
      </w:r>
      <w:hyperlink r:id="rId10" w:anchor="1" w:history="1">
        <w:r w:rsidR="0072330D" w:rsidRPr="004960BE">
          <w:rPr>
            <w:rStyle w:val="Hyperlink"/>
          </w:rPr>
          <w:t>https://onlinelibrary.wiley.com/page/journal/17521688/homepage/forauthors.html#1</w:t>
        </w:r>
      </w:hyperlink>
      <w:r w:rsidR="006E6F40">
        <w:t>.</w:t>
      </w:r>
    </w:p>
  </w:footnote>
  <w:footnote w:id="14">
    <w:p w14:paraId="4BDC0A23" w14:textId="6DCC4BCC" w:rsidR="00BD2A0C" w:rsidRDefault="00BD2A0C" w:rsidP="00BB6E1B">
      <w:pPr>
        <w:pStyle w:val="FootnoteText"/>
      </w:pPr>
      <w:r>
        <w:rPr>
          <w:rStyle w:val="FootnoteReference"/>
        </w:rPr>
        <w:footnoteRef/>
      </w:r>
      <w:r>
        <w:t xml:space="preserve"> </w:t>
      </w:r>
      <w:r w:rsidR="004E7425" w:rsidRPr="004E7425">
        <w:rPr>
          <w:i/>
          <w:iCs/>
        </w:rPr>
        <w:t>Id.</w:t>
      </w:r>
      <w:r w:rsidR="004E7425">
        <w:t xml:space="preserve"> </w:t>
      </w:r>
      <w:r w:rsidR="00521B90">
        <w:t xml:space="preserve">p. </w:t>
      </w:r>
      <w:r w:rsidR="00F30990">
        <w:t>3</w:t>
      </w:r>
      <w:r w:rsidR="004E2B6A">
        <w:t>59</w:t>
      </w:r>
      <w:r w:rsidR="004E7425">
        <w:t>.</w:t>
      </w:r>
    </w:p>
  </w:footnote>
  <w:footnote w:id="15">
    <w:p w14:paraId="05BDA88B" w14:textId="6DFD5881" w:rsidR="00BD2A0C" w:rsidRDefault="00BD2A0C">
      <w:pPr>
        <w:pStyle w:val="FootnoteText"/>
      </w:pPr>
      <w:r>
        <w:rPr>
          <w:rStyle w:val="FootnoteReference"/>
        </w:rPr>
        <w:footnoteRef/>
      </w:r>
      <w:r>
        <w:t xml:space="preserve"> </w:t>
      </w:r>
      <w:r w:rsidRPr="00BD2A0C">
        <w:rPr>
          <w:i/>
          <w:iCs/>
        </w:rPr>
        <w:t>Id.</w:t>
      </w:r>
    </w:p>
  </w:footnote>
  <w:footnote w:id="16">
    <w:p w14:paraId="674E8055" w14:textId="2720C67C" w:rsidR="00B85059" w:rsidRDefault="00B85059">
      <w:pPr>
        <w:pStyle w:val="FootnoteText"/>
      </w:pPr>
      <w:r>
        <w:rPr>
          <w:rStyle w:val="FootnoteReference"/>
        </w:rPr>
        <w:footnoteRef/>
      </w:r>
      <w:r>
        <w:t xml:space="preserve"> </w:t>
      </w:r>
      <w:r w:rsidRPr="008937C3">
        <w:rPr>
          <w:i/>
          <w:iCs/>
        </w:rPr>
        <w:t>Id.</w:t>
      </w:r>
      <w:r>
        <w:t xml:space="preserve"> </w:t>
      </w:r>
      <w:r w:rsidR="008937C3">
        <w:t>p. 355.</w:t>
      </w:r>
    </w:p>
  </w:footnote>
  <w:footnote w:id="17">
    <w:p w14:paraId="2006C552" w14:textId="30D8FFAB" w:rsidR="009712C4" w:rsidRDefault="009712C4">
      <w:pPr>
        <w:pStyle w:val="FootnoteText"/>
      </w:pPr>
      <w:r>
        <w:rPr>
          <w:rStyle w:val="FootnoteReference"/>
        </w:rPr>
        <w:footnoteRef/>
      </w:r>
      <w:r>
        <w:t xml:space="preserve"> Washington States Department of Commerce</w:t>
      </w:r>
      <w:r w:rsidRPr="00A73A34">
        <w:t>, Local Government Division Growth Management Services,</w:t>
      </w:r>
      <w:r w:rsidRPr="009B1778">
        <w:rPr>
          <w:i/>
          <w:iCs/>
        </w:rPr>
        <w:t xml:space="preserve"> Guidance for Updating Your Housing Element: Updating your housing element to address new requirements</w:t>
      </w:r>
      <w:r>
        <w:t xml:space="preserve"> p. </w:t>
      </w:r>
      <w:r w:rsidR="00301DC5">
        <w:t>35</w:t>
      </w:r>
      <w:r>
        <w:t xml:space="preserve"> (Aug. 2023)</w:t>
      </w:r>
      <w:r w:rsidRPr="009B1778">
        <w:t xml:space="preserve"> </w:t>
      </w:r>
      <w:r>
        <w:t xml:space="preserve">last accessed on </w:t>
      </w:r>
      <w:r w:rsidR="009400C8">
        <w:t>May 12, 2025,</w:t>
      </w:r>
      <w:r>
        <w:t xml:space="preserve"> at: </w:t>
      </w:r>
      <w:hyperlink r:id="rId11" w:history="1">
        <w:r>
          <w:rPr>
            <w:rStyle w:val="Hyperlink"/>
            <w:rFonts w:eastAsiaTheme="majorEastAsia"/>
          </w:rPr>
          <w:t>https://deptofcommerce.app.box.com/s/1d9d5l7g509r389f0mjpowh8isjpirlh</w:t>
        </w:r>
      </w:hyperlink>
      <w:r w:rsidR="00301DC5">
        <w:t>.</w:t>
      </w:r>
    </w:p>
  </w:footnote>
  <w:footnote w:id="18">
    <w:p w14:paraId="78B57C26" w14:textId="28EABA11" w:rsidR="00963344" w:rsidRDefault="00963344" w:rsidP="00B23A6E">
      <w:pPr>
        <w:pStyle w:val="FootnoteText"/>
      </w:pPr>
      <w:r>
        <w:rPr>
          <w:rStyle w:val="FootnoteReference"/>
          <w:rFonts w:eastAsia="ヒラギノ角ゴ Pro W3"/>
        </w:rPr>
        <w:footnoteRef/>
      </w:r>
      <w:r>
        <w:t xml:space="preserve"> </w:t>
      </w:r>
      <w:r>
        <w:rPr>
          <w:bCs/>
        </w:rPr>
        <w:t xml:space="preserve">United States Environmental Protection Agency, </w:t>
      </w:r>
      <w:r>
        <w:rPr>
          <w:bCs/>
          <w:i/>
        </w:rPr>
        <w:t>Growing Toward More Efficient Water Use: Linking Development, Infrastructure, and Drinking Water Policies</w:t>
      </w:r>
      <w:r>
        <w:rPr>
          <w:bCs/>
        </w:rPr>
        <w:t xml:space="preserve"> pp. 3 – 5 (EPA 230-R-06-001: January 2006) last accessed on</w:t>
      </w:r>
      <w:r w:rsidR="0031270F">
        <w:rPr>
          <w:bCs/>
        </w:rPr>
        <w:t xml:space="preserve"> May 12, 2025,</w:t>
      </w:r>
      <w:r>
        <w:rPr>
          <w:bCs/>
        </w:rPr>
        <w:t xml:space="preserve"> at: </w:t>
      </w:r>
      <w:hyperlink r:id="rId12" w:history="1">
        <w:r>
          <w:rPr>
            <w:rStyle w:val="Hyperlink"/>
            <w:rFonts w:eastAsiaTheme="majorEastAsia"/>
            <w:bCs/>
          </w:rPr>
          <w:t>https://www.epa.gov/smartgrowth/growing-toward-more-efficient-water-use</w:t>
        </w:r>
      </w:hyperlink>
      <w:r>
        <w:rPr>
          <w:rStyle w:val="Hyperlink"/>
          <w:rFonts w:eastAsiaTheme="majorEastAsia"/>
          <w:bCs/>
        </w:rPr>
        <w:t>.</w:t>
      </w:r>
    </w:p>
  </w:footnote>
  <w:footnote w:id="19">
    <w:p w14:paraId="6568B41D" w14:textId="77777777" w:rsidR="00963344" w:rsidRDefault="00963344" w:rsidP="00963344">
      <w:pPr>
        <w:pStyle w:val="FootnoteText"/>
      </w:pPr>
      <w:r>
        <w:rPr>
          <w:rStyle w:val="FootnoteReference"/>
          <w:rFonts w:eastAsia="ヒラギノ角ゴ Pro W3"/>
        </w:rPr>
        <w:footnoteRef/>
      </w:r>
      <w:r>
        <w:t xml:space="preserve"> </w:t>
      </w:r>
      <w:r>
        <w:rPr>
          <w:i/>
        </w:rPr>
        <w:t>Id.</w:t>
      </w:r>
      <w:r>
        <w:t xml:space="preserve"> at p. 8.</w:t>
      </w:r>
    </w:p>
  </w:footnote>
  <w:footnote w:id="20">
    <w:p w14:paraId="4C5039F5" w14:textId="58CEA31E" w:rsidR="000A3C08" w:rsidRDefault="000A3C08">
      <w:pPr>
        <w:pStyle w:val="FootnoteText"/>
      </w:pPr>
      <w:r>
        <w:rPr>
          <w:rStyle w:val="FootnoteReference"/>
        </w:rPr>
        <w:footnoteRef/>
      </w:r>
      <w:r>
        <w:t xml:space="preserve"> </w:t>
      </w:r>
      <w:r w:rsidR="00921E5A" w:rsidRPr="00921E5A">
        <w:t>RCW 36.70A.070</w:t>
      </w:r>
      <w:r w:rsidR="00921E5A">
        <w:t>(3).</w:t>
      </w:r>
      <w:r w:rsidR="00EF4CCF" w:rsidRPr="00EF4CCF">
        <w:t xml:space="preserve"> </w:t>
      </w:r>
      <w:r w:rsidR="00EF4CCF">
        <w:t xml:space="preserve">The folly planning counties are </w:t>
      </w:r>
      <w:r w:rsidR="00EF4CCF" w:rsidRPr="00EF4CCF">
        <w:t>Benton County, Chelan County, Clallam County, Clark County, Columbia County, Douglas County, Ferry County, Franklin County, Garfield County, Grant County, Island County, Jefferson County, King County, Kitsap County, Kittitas County, Lewis County, Mason County, Pacific County, Pend Oreille County, Pierce County, San Juan County, Skagit County, Snohomish County, Spokane County, Stevens County, Thurston County, Walla Walla County, Whatcom County, and Yakima County.</w:t>
      </w:r>
      <w:r w:rsidR="000E5734">
        <w:t xml:space="preserve"> The cities in these counties also fully plan under the Growth Management </w:t>
      </w:r>
      <w:r w:rsidR="00F020A5">
        <w:t>A</w:t>
      </w:r>
      <w:r w:rsidR="000E5734">
        <w:t>ct</w:t>
      </w:r>
      <w:r w:rsidR="00F020A5">
        <w:t>.</w:t>
      </w:r>
    </w:p>
  </w:footnote>
  <w:footnote w:id="21">
    <w:p w14:paraId="23D1A67F" w14:textId="2A7D2464" w:rsidR="00325B61" w:rsidRDefault="00325B61">
      <w:pPr>
        <w:pStyle w:val="FootnoteText"/>
      </w:pPr>
      <w:r>
        <w:rPr>
          <w:rStyle w:val="FootnoteReference"/>
        </w:rPr>
        <w:footnoteRef/>
      </w:r>
      <w:r>
        <w:t xml:space="preserve"> </w:t>
      </w:r>
      <w:r w:rsidR="009D423F">
        <w:t xml:space="preserve">Hall, S.A., Adam, J.C., Yourek, M.A., Whittemore, A.M., Yorgey, G.G., Scarpare, F., Liu, M., McLarty, S., Asante-Sasu, C., McClure, S., Turk, J., Haller, D., Padowski, J., Deshar, R., Brady, M.P., Rajagopalan, K., Barber, M.E., Weber, R., Stockle, C.O., Goodspeed, H.L., Gustine, R.N., Kondal, A., Yoder, J., Deaver, B., Downes, M., Tarbutton, S., Callahan, M., Price, P. Roberts, T., Stephens, J., Valdez, W., </w:t>
      </w:r>
      <w:r w:rsidR="009D423F" w:rsidRPr="00E35190">
        <w:rPr>
          <w:i/>
          <w:iCs/>
        </w:rPr>
        <w:t>2021 Washington State Legislative Report Columbia River Basin Long-Term Water Supply and Demand Forecast</w:t>
      </w:r>
      <w:r w:rsidR="009D423F">
        <w:t xml:space="preserve"> p. </w:t>
      </w:r>
      <w:r w:rsidR="009D423F" w:rsidRPr="00C2623C">
        <w:t>ES-</w:t>
      </w:r>
      <w:r w:rsidR="00874DFB">
        <w:t>1</w:t>
      </w:r>
      <w:r w:rsidR="009D423F">
        <w:t xml:space="preserve"> (Publication No. 21-12-006, Washington Department of Ecology, Olympia, WA.: </w:t>
      </w:r>
      <w:r w:rsidR="009D423F" w:rsidRPr="00DD2AE2">
        <w:t>2022</w:t>
      </w:r>
      <w:r w:rsidR="009D423F">
        <w:t>).</w:t>
      </w:r>
    </w:p>
  </w:footnote>
  <w:footnote w:id="22">
    <w:p w14:paraId="7AB21879" w14:textId="2DAA16D9" w:rsidR="00B709A4" w:rsidRDefault="00B709A4" w:rsidP="00487161">
      <w:pPr>
        <w:pStyle w:val="FootnoteText"/>
      </w:pPr>
      <w:r>
        <w:rPr>
          <w:rStyle w:val="FootnoteReference"/>
        </w:rPr>
        <w:footnoteRef/>
      </w:r>
      <w:r>
        <w:t xml:space="preserve"> </w:t>
      </w:r>
      <w:r w:rsidR="00487161">
        <w:t xml:space="preserve">Robin McPherson and Adjudication Staff, </w:t>
      </w:r>
      <w:r w:rsidR="00487161" w:rsidRPr="00487161">
        <w:rPr>
          <w:i/>
          <w:iCs/>
        </w:rPr>
        <w:t>Water Resources Adjudication Assessment Legislative Report: Watersheds Proposed for Urgent Adjudication and Future Assessment</w:t>
      </w:r>
      <w:r w:rsidR="00487161" w:rsidRPr="00487161">
        <w:t xml:space="preserve"> </w:t>
      </w:r>
      <w:r w:rsidR="00487161">
        <w:t>p</w:t>
      </w:r>
      <w:r w:rsidR="00C71A0D">
        <w:t>.</w:t>
      </w:r>
      <w:r w:rsidR="00487161" w:rsidRPr="00487161">
        <w:t xml:space="preserve"> 10</w:t>
      </w:r>
      <w:r w:rsidR="00C71A0D">
        <w:t xml:space="preserve"> (</w:t>
      </w:r>
      <w:r w:rsidR="00487161">
        <w:t>Water Resources Program Washington State Department of Ecology Olympia, Washington</w:t>
      </w:r>
      <w:r w:rsidR="00C71A0D">
        <w:t>: Se</w:t>
      </w:r>
      <w:r w:rsidR="00487161">
        <w:t>pt</w:t>
      </w:r>
      <w:r w:rsidR="000E561E">
        <w:t>.</w:t>
      </w:r>
      <w:r w:rsidR="00487161">
        <w:t xml:space="preserve"> 2020, Publication 20-11-084</w:t>
      </w:r>
      <w:r w:rsidR="000E561E">
        <w:t>) last accessed on May 12, 2025, at:</w:t>
      </w:r>
      <w:r w:rsidR="00487161">
        <w:t xml:space="preserve"> </w:t>
      </w:r>
      <w:hyperlink r:id="rId13" w:history="1">
        <w:r w:rsidR="008C2690" w:rsidRPr="004960BE">
          <w:rPr>
            <w:rStyle w:val="Hyperlink"/>
          </w:rPr>
          <w:t>https://apps.ecology.wa.gov/publications/documents/2011084.pdf</w:t>
        </w:r>
      </w:hyperlink>
      <w:r w:rsidR="008C2690">
        <w:t>.</w:t>
      </w:r>
    </w:p>
  </w:footnote>
  <w:footnote w:id="23">
    <w:p w14:paraId="0A5398E3" w14:textId="1693F706" w:rsidR="00A34DF5" w:rsidRDefault="00A34DF5">
      <w:pPr>
        <w:pStyle w:val="FootnoteText"/>
      </w:pPr>
      <w:r>
        <w:rPr>
          <w:rStyle w:val="FootnoteReference"/>
        </w:rPr>
        <w:footnoteRef/>
      </w:r>
      <w:r>
        <w:t xml:space="preserve"> </w:t>
      </w:r>
      <w:r w:rsidR="00DE6966" w:rsidRPr="00DE6966">
        <w:t>Benton County, Chelan County, Clallam County, Clark County, Columbia County, Douglas County, Ferry County, Franklin County, Garfield County, Grant County, Island County, Jefferson County, King County, Kitsap County, Kittitas County, Lewis County, Mason County, Pacific County, Pend Oreille County, Pierce County, San Juan County, Skagit County, Snohomish County, Spokane County, Stevens County, Thurston County, Walla Walla County, Whatcom County, and Yakima County.</w:t>
      </w:r>
    </w:p>
  </w:footnote>
  <w:footnote w:id="24">
    <w:p w14:paraId="349A7314" w14:textId="77777777" w:rsidR="00943BA4" w:rsidRDefault="00943BA4" w:rsidP="00943BA4">
      <w:pPr>
        <w:pStyle w:val="FootnoteText"/>
      </w:pPr>
      <w:r>
        <w:rPr>
          <w:rStyle w:val="FootnoteReference"/>
          <w:rFonts w:eastAsiaTheme="majorEastAsia"/>
        </w:rPr>
        <w:footnoteRef/>
      </w:r>
      <w:r>
        <w:t xml:space="preserve"> </w:t>
      </w:r>
      <w:bookmarkStart w:id="2" w:name="_Hlk155779066"/>
      <w:r w:rsidRPr="00BD3895">
        <w:rPr>
          <w:i/>
        </w:rPr>
        <w:t>Kittitas C</w:t>
      </w:r>
      <w:r>
        <w:rPr>
          <w:i/>
        </w:rPr>
        <w:t>nty.</w:t>
      </w:r>
      <w:r w:rsidRPr="00BD3895">
        <w:rPr>
          <w:i/>
        </w:rPr>
        <w:t xml:space="preserve"> v. </w:t>
      </w:r>
      <w:r w:rsidRPr="000F6F4B">
        <w:rPr>
          <w:i/>
        </w:rPr>
        <w:t>E. Washington Growth Mgmt.</w:t>
      </w:r>
      <w:r w:rsidRPr="00BD3895">
        <w:rPr>
          <w:i/>
        </w:rPr>
        <w:t xml:space="preserve"> Hearings Bd.</w:t>
      </w:r>
      <w:r>
        <w:t xml:space="preserve">, </w:t>
      </w:r>
      <w:r w:rsidRPr="00BD3895">
        <w:t>172 W</w:t>
      </w:r>
      <w:r>
        <w:t>n</w:t>
      </w:r>
      <w:r w:rsidRPr="00BD3895">
        <w:t xml:space="preserve">.2d </w:t>
      </w:r>
      <w:r>
        <w:t xml:space="preserve">144, </w:t>
      </w:r>
      <w:r w:rsidRPr="00BD3895">
        <w:t>1</w:t>
      </w:r>
      <w:r>
        <w:t>6</w:t>
      </w:r>
      <w:r w:rsidRPr="00BD3895">
        <w:t xml:space="preserve">4, 256 P.3d 1193, </w:t>
      </w:r>
      <w:r>
        <w:t>1203</w:t>
      </w:r>
      <w:r w:rsidRPr="00BD3895">
        <w:t xml:space="preserve"> (2011)</w:t>
      </w:r>
      <w:r w:rsidRPr="0085628C">
        <w:t xml:space="preserve"> </w:t>
      </w:r>
      <w:r w:rsidRPr="008C3CD5">
        <w:rPr>
          <w:i/>
          <w:iCs/>
        </w:rPr>
        <w:t>citing</w:t>
      </w:r>
      <w:r w:rsidRPr="0085628C">
        <w:t xml:space="preserve"> RCW 36.70A.130(1)</w:t>
      </w:r>
      <w:r>
        <w:t xml:space="preserve">; </w:t>
      </w:r>
      <w:r w:rsidRPr="00D43285">
        <w:rPr>
          <w:i/>
          <w:iCs/>
        </w:rPr>
        <w:t>accord</w:t>
      </w:r>
      <w:r>
        <w:t xml:space="preserve"> </w:t>
      </w:r>
      <w:r w:rsidRPr="00C70685">
        <w:t>RCW 36.70A.290(2)</w:t>
      </w:r>
      <w:r>
        <w:t>.</w:t>
      </w:r>
      <w:bookmarkEnd w:id="2"/>
    </w:p>
  </w:footnote>
  <w:footnote w:id="25">
    <w:p w14:paraId="71DD2176" w14:textId="0A901C2C" w:rsidR="00DA65EA" w:rsidRDefault="00DA65EA">
      <w:pPr>
        <w:pStyle w:val="FootnoteText"/>
      </w:pPr>
      <w:r>
        <w:rPr>
          <w:rStyle w:val="FootnoteReference"/>
        </w:rPr>
        <w:footnoteRef/>
      </w:r>
      <w:r>
        <w:t xml:space="preserve"> See for example, </w:t>
      </w:r>
      <w:r w:rsidRPr="00136D69">
        <w:t xml:space="preserve">State of Washington Department of Ecology Water Resources Program, </w:t>
      </w:r>
      <w:r w:rsidRPr="000B2C82">
        <w:rPr>
          <w:i/>
          <w:iCs/>
        </w:rPr>
        <w:t>WRIA 11 Nisqually Watershed Water Availability</w:t>
      </w:r>
      <w:r>
        <w:t xml:space="preserve"> p. 3 (</w:t>
      </w:r>
      <w:r w:rsidRPr="008333D5">
        <w:t>Publication 20-11-011 Revised Sept</w:t>
      </w:r>
      <w:r>
        <w:t>.</w:t>
      </w:r>
      <w:r w:rsidRPr="008333D5">
        <w:t xml:space="preserve"> 2022</w:t>
      </w:r>
      <w:r>
        <w:t xml:space="preserve">) </w:t>
      </w:r>
      <w:r w:rsidRPr="00115582">
        <w:t xml:space="preserve">last accessed on </w:t>
      </w:r>
      <w:r>
        <w:t xml:space="preserve">Oct. </w:t>
      </w:r>
      <w:r w:rsidRPr="00115582">
        <w:t>14, 2024, at:</w:t>
      </w:r>
      <w:r>
        <w:t xml:space="preserve"> </w:t>
      </w:r>
      <w:hyperlink r:id="rId14" w:history="1">
        <w:r w:rsidRPr="000541C5">
          <w:rPr>
            <w:rStyle w:val="Hyperlink"/>
            <w:rFonts w:eastAsiaTheme="majorEastAsia"/>
          </w:rPr>
          <w:t>https://apps.ecology.wa.gov/publications/SummaryPages/2011011.html</w:t>
        </w:r>
      </w:hyperlink>
      <w:r>
        <w:t>.</w:t>
      </w:r>
    </w:p>
  </w:footnote>
  <w:footnote w:id="26">
    <w:p w14:paraId="23DDF0B9" w14:textId="5AC03FF7" w:rsidR="00185221" w:rsidRDefault="00185221">
      <w:pPr>
        <w:pStyle w:val="FootnoteText"/>
      </w:pPr>
      <w:r>
        <w:rPr>
          <w:rStyle w:val="FootnoteReference"/>
        </w:rPr>
        <w:footnoteRef/>
      </w:r>
      <w:r>
        <w:t xml:space="preserve"> RCW 36.70A.</w:t>
      </w:r>
      <w:r w:rsidR="00DB18EC">
        <w:t>130(1)(a), (5).</w:t>
      </w:r>
    </w:p>
  </w:footnote>
  <w:footnote w:id="27">
    <w:p w14:paraId="60C6417D" w14:textId="77777777" w:rsidR="00B06131" w:rsidRDefault="00B06131" w:rsidP="00B06131">
      <w:pPr>
        <w:pStyle w:val="FootnoteText"/>
      </w:pPr>
      <w:r>
        <w:rPr>
          <w:rStyle w:val="FootnoteReference"/>
        </w:rPr>
        <w:footnoteRef/>
      </w:r>
      <w:r>
        <w:t xml:space="preserve"> </w:t>
      </w:r>
      <w:r w:rsidRPr="00130111">
        <w:rPr>
          <w:i/>
          <w:iCs/>
        </w:rPr>
        <w:t>Thurston Cnty. v. W. Washington Growth Mgmt. Hearings Bd.</w:t>
      </w:r>
      <w:r w:rsidRPr="00130111">
        <w:t>, 164 W</w:t>
      </w:r>
      <w:r>
        <w:t>n</w:t>
      </w:r>
      <w:r w:rsidRPr="00130111">
        <w:t>.2d 329, 344, 190 P.3d 38, 45 (2008)</w:t>
      </w:r>
      <w:r>
        <w:fldChar w:fldCharType="begin"/>
      </w:r>
      <w:r>
        <w:instrText xml:space="preserve"> TA \l "</w:instrText>
      </w:r>
      <w:r w:rsidRPr="00584A49">
        <w:rPr>
          <w:i/>
          <w:iCs/>
        </w:rPr>
        <w:instrText>Thurston Cnty. v. W. Washington Growth Mgmt. Hearings Bd.</w:instrText>
      </w:r>
      <w:r w:rsidRPr="00584A49">
        <w:instrText>, 164 Wn.2d 329, 190 P.3d 38 (2008)</w:instrText>
      </w:r>
      <w:r>
        <w:instrText xml:space="preserve">" \s "Thurston Cnty. v. W. Washington Growth Mgmt. Hearings Bd., 164 Wn.2d 329, 190 P.3d 38 (2008)" \c 1 </w:instrText>
      </w:r>
      <w:r>
        <w:fldChar w:fldCharType="end"/>
      </w:r>
      <w:r>
        <w:t xml:space="preserve">; </w:t>
      </w:r>
      <w:r w:rsidRPr="00EA6234">
        <w:t>RCW 36.70A.130</w:t>
      </w:r>
      <w:r>
        <w:t>(1)(a)</w:t>
      </w:r>
      <w:r>
        <w:fldChar w:fldCharType="begin"/>
      </w:r>
      <w:r>
        <w:instrText xml:space="preserve"> TA \l "</w:instrText>
      </w:r>
      <w:r w:rsidRPr="001B33D7">
        <w:instrText>RCW 36.70A.</w:instrText>
      </w:r>
      <w:r>
        <w:instrText xml:space="preserve">130" \s "RCW 36.70A.130" \c 2 </w:instrText>
      </w:r>
      <w:r>
        <w:fldChar w:fldCharType="end"/>
      </w:r>
      <w:r>
        <w:t>.</w:t>
      </w:r>
    </w:p>
  </w:footnote>
  <w:footnote w:id="28">
    <w:p w14:paraId="7FC0A27E" w14:textId="77777777" w:rsidR="00B06131" w:rsidRDefault="00B06131" w:rsidP="00B06131">
      <w:pPr>
        <w:pStyle w:val="FootnoteText"/>
      </w:pPr>
      <w:r>
        <w:rPr>
          <w:rStyle w:val="FootnoteReference"/>
        </w:rPr>
        <w:footnoteRef/>
      </w:r>
      <w:r>
        <w:t xml:space="preserve"> </w:t>
      </w:r>
      <w:r w:rsidRPr="00B31CD3">
        <w:t>Laws of 2018</w:t>
      </w:r>
      <w:r>
        <w:t xml:space="preserve">, Ch. </w:t>
      </w:r>
      <w:r w:rsidRPr="00137550">
        <w:t>1</w:t>
      </w:r>
      <w:r>
        <w:t xml:space="preserve"> § </w:t>
      </w:r>
      <w:r w:rsidRPr="00330AF4">
        <w:t>102</w:t>
      </w:r>
      <w:r>
        <w:fldChar w:fldCharType="begin"/>
      </w:r>
      <w:r>
        <w:instrText xml:space="preserve"> TA \l "</w:instrText>
      </w:r>
      <w:r w:rsidRPr="006E6391">
        <w:instrText>Laws of 2018, Ch. 1 § 102</w:instrText>
      </w:r>
      <w:r>
        <w:instrText xml:space="preserve">" \s "Laws of 2018, Ch. 1 § 102" \c 2 </w:instrText>
      </w:r>
      <w:r>
        <w:fldChar w:fldCharType="end"/>
      </w:r>
      <w:r>
        <w:t>.</w:t>
      </w:r>
    </w:p>
  </w:footnote>
  <w:footnote w:id="29">
    <w:p w14:paraId="64EA444B" w14:textId="77777777" w:rsidR="00943BA4" w:rsidRPr="00995F82" w:rsidRDefault="00943BA4" w:rsidP="00943BA4">
      <w:pPr>
        <w:pStyle w:val="FootnoteText"/>
        <w:rPr>
          <w:iCs/>
        </w:rPr>
      </w:pPr>
      <w:r>
        <w:rPr>
          <w:rStyle w:val="FootnoteReference"/>
          <w:rFonts w:eastAsiaTheme="majorEastAsia"/>
        </w:rPr>
        <w:footnoteRef/>
      </w:r>
      <w:r>
        <w:t xml:space="preserve"> </w:t>
      </w:r>
      <w:r w:rsidRPr="00B44113">
        <w:rPr>
          <w:i/>
        </w:rPr>
        <w:t>State Dep</w:t>
      </w:r>
      <w:r>
        <w:rPr>
          <w:i/>
        </w:rPr>
        <w:t>’</w:t>
      </w:r>
      <w:r w:rsidRPr="00B44113">
        <w:rPr>
          <w:i/>
        </w:rPr>
        <w:t>t of Ecology v. Campbell &amp; Gwinn, L.L.C.</w:t>
      </w:r>
      <w:r w:rsidRPr="00B44113">
        <w:t>, 146 W</w:t>
      </w:r>
      <w:r>
        <w:t>n</w:t>
      </w:r>
      <w:r w:rsidRPr="00B44113">
        <w:t>.2d 1, 1</w:t>
      </w:r>
      <w:r>
        <w:t>4</w:t>
      </w:r>
      <w:r w:rsidRPr="00B44113">
        <w:t>, 43 P.3d 4, 1</w:t>
      </w:r>
      <w:r>
        <w:t>1</w:t>
      </w:r>
      <w:r w:rsidRPr="00B44113">
        <w:t>0 (2002)</w:t>
      </w:r>
      <w:r w:rsidRPr="00621DAC">
        <w:rPr>
          <w:i/>
        </w:rPr>
        <w:t>.</w:t>
      </w:r>
    </w:p>
  </w:footnote>
  <w:footnote w:id="30">
    <w:p w14:paraId="0A4ACCD0" w14:textId="77777777" w:rsidR="00943BA4" w:rsidRDefault="00943BA4" w:rsidP="00943BA4">
      <w:pPr>
        <w:pStyle w:val="FootnoteText"/>
      </w:pPr>
      <w:r>
        <w:rPr>
          <w:rStyle w:val="FootnoteReference"/>
          <w:rFonts w:eastAsiaTheme="majorEastAsia"/>
        </w:rPr>
        <w:footnoteRef/>
      </w:r>
      <w:r>
        <w:t xml:space="preserve"> </w:t>
      </w:r>
      <w:r w:rsidRPr="0007358E">
        <w:rPr>
          <w:i/>
          <w:iCs/>
        </w:rPr>
        <w:t>Id.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91D"/>
    <w:rsid w:val="000166BB"/>
    <w:rsid w:val="00023AFB"/>
    <w:rsid w:val="00026408"/>
    <w:rsid w:val="00032424"/>
    <w:rsid w:val="000341CC"/>
    <w:rsid w:val="0005385F"/>
    <w:rsid w:val="00091A1C"/>
    <w:rsid w:val="000A1B33"/>
    <w:rsid w:val="000A3C08"/>
    <w:rsid w:val="000D28CD"/>
    <w:rsid w:val="000E394A"/>
    <w:rsid w:val="000E561E"/>
    <w:rsid w:val="000E5734"/>
    <w:rsid w:val="000F42A6"/>
    <w:rsid w:val="0010183C"/>
    <w:rsid w:val="001033CF"/>
    <w:rsid w:val="001273B4"/>
    <w:rsid w:val="00130110"/>
    <w:rsid w:val="00137AF5"/>
    <w:rsid w:val="001448CD"/>
    <w:rsid w:val="00145ABC"/>
    <w:rsid w:val="00146A91"/>
    <w:rsid w:val="00154384"/>
    <w:rsid w:val="0015597F"/>
    <w:rsid w:val="00185221"/>
    <w:rsid w:val="00187263"/>
    <w:rsid w:val="001A37EA"/>
    <w:rsid w:val="001A6703"/>
    <w:rsid w:val="001B0C9B"/>
    <w:rsid w:val="001C34F1"/>
    <w:rsid w:val="001E07E2"/>
    <w:rsid w:val="001F17D3"/>
    <w:rsid w:val="002204CD"/>
    <w:rsid w:val="00223D6C"/>
    <w:rsid w:val="00237E37"/>
    <w:rsid w:val="00247A15"/>
    <w:rsid w:val="0026244E"/>
    <w:rsid w:val="002A363E"/>
    <w:rsid w:val="002B5203"/>
    <w:rsid w:val="002B77ED"/>
    <w:rsid w:val="002C159F"/>
    <w:rsid w:val="002E54AC"/>
    <w:rsid w:val="00301DC5"/>
    <w:rsid w:val="003053A8"/>
    <w:rsid w:val="0031270F"/>
    <w:rsid w:val="0031509F"/>
    <w:rsid w:val="00325B61"/>
    <w:rsid w:val="003606A2"/>
    <w:rsid w:val="00364057"/>
    <w:rsid w:val="00383BCF"/>
    <w:rsid w:val="0039220E"/>
    <w:rsid w:val="003A6CF3"/>
    <w:rsid w:val="003D407D"/>
    <w:rsid w:val="003E1EB1"/>
    <w:rsid w:val="003E6F57"/>
    <w:rsid w:val="003F6298"/>
    <w:rsid w:val="003F7695"/>
    <w:rsid w:val="00432F76"/>
    <w:rsid w:val="00443C2A"/>
    <w:rsid w:val="0045507D"/>
    <w:rsid w:val="00461B6F"/>
    <w:rsid w:val="00472E29"/>
    <w:rsid w:val="004807E8"/>
    <w:rsid w:val="00487161"/>
    <w:rsid w:val="00495529"/>
    <w:rsid w:val="004B2D4A"/>
    <w:rsid w:val="004C4A6E"/>
    <w:rsid w:val="004E2516"/>
    <w:rsid w:val="004E2B6A"/>
    <w:rsid w:val="004E7425"/>
    <w:rsid w:val="005069F0"/>
    <w:rsid w:val="00507960"/>
    <w:rsid w:val="00521B90"/>
    <w:rsid w:val="00524703"/>
    <w:rsid w:val="005414FE"/>
    <w:rsid w:val="00551CC6"/>
    <w:rsid w:val="00555891"/>
    <w:rsid w:val="00562410"/>
    <w:rsid w:val="005A4A4A"/>
    <w:rsid w:val="005A4C76"/>
    <w:rsid w:val="005C2A11"/>
    <w:rsid w:val="005C4142"/>
    <w:rsid w:val="005D6FAA"/>
    <w:rsid w:val="005E39FA"/>
    <w:rsid w:val="0061700C"/>
    <w:rsid w:val="00617757"/>
    <w:rsid w:val="006229FE"/>
    <w:rsid w:val="00625E05"/>
    <w:rsid w:val="00642C81"/>
    <w:rsid w:val="00650736"/>
    <w:rsid w:val="00657E4A"/>
    <w:rsid w:val="00674EEC"/>
    <w:rsid w:val="006800CB"/>
    <w:rsid w:val="006949DE"/>
    <w:rsid w:val="00695456"/>
    <w:rsid w:val="00697B8A"/>
    <w:rsid w:val="006A4CB4"/>
    <w:rsid w:val="006B2419"/>
    <w:rsid w:val="006C15E7"/>
    <w:rsid w:val="006C32AF"/>
    <w:rsid w:val="006D451F"/>
    <w:rsid w:val="006E280F"/>
    <w:rsid w:val="006E361C"/>
    <w:rsid w:val="006E6F40"/>
    <w:rsid w:val="006E7E5E"/>
    <w:rsid w:val="006F444E"/>
    <w:rsid w:val="007024CE"/>
    <w:rsid w:val="00704C68"/>
    <w:rsid w:val="00714795"/>
    <w:rsid w:val="007222F8"/>
    <w:rsid w:val="0072330D"/>
    <w:rsid w:val="0072414E"/>
    <w:rsid w:val="00743156"/>
    <w:rsid w:val="007540E1"/>
    <w:rsid w:val="007558D9"/>
    <w:rsid w:val="00756166"/>
    <w:rsid w:val="00775A32"/>
    <w:rsid w:val="00797A54"/>
    <w:rsid w:val="007C07B3"/>
    <w:rsid w:val="007D3432"/>
    <w:rsid w:val="007D3D95"/>
    <w:rsid w:val="007E053B"/>
    <w:rsid w:val="00800F5F"/>
    <w:rsid w:val="00821CA6"/>
    <w:rsid w:val="00843517"/>
    <w:rsid w:val="00873243"/>
    <w:rsid w:val="00874DFB"/>
    <w:rsid w:val="0089312F"/>
    <w:rsid w:val="008937C3"/>
    <w:rsid w:val="00893B1F"/>
    <w:rsid w:val="008B1C4D"/>
    <w:rsid w:val="008C2690"/>
    <w:rsid w:val="008C61C0"/>
    <w:rsid w:val="008D3901"/>
    <w:rsid w:val="008F4243"/>
    <w:rsid w:val="008F627F"/>
    <w:rsid w:val="00912B45"/>
    <w:rsid w:val="00921E5A"/>
    <w:rsid w:val="00922546"/>
    <w:rsid w:val="00923D74"/>
    <w:rsid w:val="009400C8"/>
    <w:rsid w:val="009409FD"/>
    <w:rsid w:val="00943BA4"/>
    <w:rsid w:val="00952B7C"/>
    <w:rsid w:val="009604D6"/>
    <w:rsid w:val="00963344"/>
    <w:rsid w:val="00966CFD"/>
    <w:rsid w:val="009712C4"/>
    <w:rsid w:val="00986918"/>
    <w:rsid w:val="00990008"/>
    <w:rsid w:val="009D0CDF"/>
    <w:rsid w:val="009D3E12"/>
    <w:rsid w:val="009D423F"/>
    <w:rsid w:val="009F34BC"/>
    <w:rsid w:val="00A1459E"/>
    <w:rsid w:val="00A2380E"/>
    <w:rsid w:val="00A25EF9"/>
    <w:rsid w:val="00A348E7"/>
    <w:rsid w:val="00A34DF5"/>
    <w:rsid w:val="00A4709F"/>
    <w:rsid w:val="00A62720"/>
    <w:rsid w:val="00A64C34"/>
    <w:rsid w:val="00A724F6"/>
    <w:rsid w:val="00A72F95"/>
    <w:rsid w:val="00A7590B"/>
    <w:rsid w:val="00A77620"/>
    <w:rsid w:val="00A95674"/>
    <w:rsid w:val="00A967F7"/>
    <w:rsid w:val="00AA15CD"/>
    <w:rsid w:val="00AB4796"/>
    <w:rsid w:val="00AD3C27"/>
    <w:rsid w:val="00AE281A"/>
    <w:rsid w:val="00AF14A4"/>
    <w:rsid w:val="00B06131"/>
    <w:rsid w:val="00B061DD"/>
    <w:rsid w:val="00B063B0"/>
    <w:rsid w:val="00B15103"/>
    <w:rsid w:val="00B208B2"/>
    <w:rsid w:val="00B23A6E"/>
    <w:rsid w:val="00B262E6"/>
    <w:rsid w:val="00B350F2"/>
    <w:rsid w:val="00B35F0A"/>
    <w:rsid w:val="00B508BB"/>
    <w:rsid w:val="00B6054B"/>
    <w:rsid w:val="00B709A4"/>
    <w:rsid w:val="00B76882"/>
    <w:rsid w:val="00B80678"/>
    <w:rsid w:val="00B85059"/>
    <w:rsid w:val="00BA5BCF"/>
    <w:rsid w:val="00BB6E1B"/>
    <w:rsid w:val="00BB75EB"/>
    <w:rsid w:val="00BC0DEB"/>
    <w:rsid w:val="00BC6CEA"/>
    <w:rsid w:val="00BD0D8A"/>
    <w:rsid w:val="00BD2A0C"/>
    <w:rsid w:val="00BD5115"/>
    <w:rsid w:val="00BD56F8"/>
    <w:rsid w:val="00BF390E"/>
    <w:rsid w:val="00C12A94"/>
    <w:rsid w:val="00C15708"/>
    <w:rsid w:val="00C1599F"/>
    <w:rsid w:val="00C2623C"/>
    <w:rsid w:val="00C55521"/>
    <w:rsid w:val="00C55C38"/>
    <w:rsid w:val="00C612B8"/>
    <w:rsid w:val="00C71A0D"/>
    <w:rsid w:val="00C85FC4"/>
    <w:rsid w:val="00C873EC"/>
    <w:rsid w:val="00CA5EA3"/>
    <w:rsid w:val="00CA69E8"/>
    <w:rsid w:val="00CB2C72"/>
    <w:rsid w:val="00CC6CF6"/>
    <w:rsid w:val="00CC6D82"/>
    <w:rsid w:val="00D04562"/>
    <w:rsid w:val="00D1211D"/>
    <w:rsid w:val="00D1344F"/>
    <w:rsid w:val="00D369DC"/>
    <w:rsid w:val="00D424DE"/>
    <w:rsid w:val="00D46C81"/>
    <w:rsid w:val="00D4758A"/>
    <w:rsid w:val="00D52F29"/>
    <w:rsid w:val="00D60377"/>
    <w:rsid w:val="00D60B65"/>
    <w:rsid w:val="00D80755"/>
    <w:rsid w:val="00DA65EA"/>
    <w:rsid w:val="00DB18EC"/>
    <w:rsid w:val="00DD2AE2"/>
    <w:rsid w:val="00DE6966"/>
    <w:rsid w:val="00E1405F"/>
    <w:rsid w:val="00E35190"/>
    <w:rsid w:val="00E40482"/>
    <w:rsid w:val="00E5122C"/>
    <w:rsid w:val="00E57C68"/>
    <w:rsid w:val="00E81944"/>
    <w:rsid w:val="00EB3123"/>
    <w:rsid w:val="00EB37A5"/>
    <w:rsid w:val="00EF4CCF"/>
    <w:rsid w:val="00F020A5"/>
    <w:rsid w:val="00F2312E"/>
    <w:rsid w:val="00F30990"/>
    <w:rsid w:val="00F5181B"/>
    <w:rsid w:val="00F602CF"/>
    <w:rsid w:val="00F74973"/>
    <w:rsid w:val="00F82A14"/>
    <w:rsid w:val="00F8391D"/>
    <w:rsid w:val="00F8674E"/>
    <w:rsid w:val="00FC5A3B"/>
    <w:rsid w:val="00FD2B1C"/>
    <w:rsid w:val="00FF20BA"/>
    <w:rsid w:val="00FF7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A77FC"/>
  <w15:chartTrackingRefBased/>
  <w15:docId w15:val="{A97079AC-25A0-4A37-A553-04B6917A4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91D"/>
    <w:pPr>
      <w:spacing w:after="0" w:line="240" w:lineRule="auto"/>
    </w:pPr>
    <w:rPr>
      <w:rFonts w:ascii="Sitka Text" w:hAnsi="Sitka Text"/>
    </w:rPr>
  </w:style>
  <w:style w:type="paragraph" w:styleId="Heading1">
    <w:name w:val="heading 1"/>
    <w:basedOn w:val="Normal"/>
    <w:next w:val="Normal"/>
    <w:link w:val="Heading1Char"/>
    <w:uiPriority w:val="9"/>
    <w:qFormat/>
    <w:rsid w:val="00F839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839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839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39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39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391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391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391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391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9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839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839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39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39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391D"/>
    <w:rPr>
      <w:rFonts w:ascii="Sitka Text" w:eastAsiaTheme="majorEastAsia" w:hAnsi="Sitka Text" w:cstheme="majorBidi"/>
      <w:i/>
      <w:iCs/>
      <w:color w:val="595959" w:themeColor="text1" w:themeTint="A6"/>
    </w:rPr>
  </w:style>
  <w:style w:type="character" w:customStyle="1" w:styleId="Heading7Char">
    <w:name w:val="Heading 7 Char"/>
    <w:basedOn w:val="DefaultParagraphFont"/>
    <w:link w:val="Heading7"/>
    <w:uiPriority w:val="9"/>
    <w:semiHidden/>
    <w:rsid w:val="00F8391D"/>
    <w:rPr>
      <w:rFonts w:ascii="Sitka Text" w:eastAsiaTheme="majorEastAsia" w:hAnsi="Sitka Text" w:cstheme="majorBidi"/>
      <w:color w:val="595959" w:themeColor="text1" w:themeTint="A6"/>
    </w:rPr>
  </w:style>
  <w:style w:type="character" w:customStyle="1" w:styleId="Heading8Char">
    <w:name w:val="Heading 8 Char"/>
    <w:basedOn w:val="DefaultParagraphFont"/>
    <w:link w:val="Heading8"/>
    <w:uiPriority w:val="9"/>
    <w:semiHidden/>
    <w:rsid w:val="00F8391D"/>
    <w:rPr>
      <w:rFonts w:ascii="Sitka Text" w:eastAsiaTheme="majorEastAsia" w:hAnsi="Sitka Text" w:cstheme="majorBidi"/>
      <w:i/>
      <w:iCs/>
      <w:color w:val="272727" w:themeColor="text1" w:themeTint="D8"/>
    </w:rPr>
  </w:style>
  <w:style w:type="character" w:customStyle="1" w:styleId="Heading9Char">
    <w:name w:val="Heading 9 Char"/>
    <w:basedOn w:val="DefaultParagraphFont"/>
    <w:link w:val="Heading9"/>
    <w:uiPriority w:val="9"/>
    <w:semiHidden/>
    <w:rsid w:val="00F8391D"/>
    <w:rPr>
      <w:rFonts w:ascii="Sitka Text" w:eastAsiaTheme="majorEastAsia" w:hAnsi="Sitka Text" w:cstheme="majorBidi"/>
      <w:color w:val="272727" w:themeColor="text1" w:themeTint="D8"/>
    </w:rPr>
  </w:style>
  <w:style w:type="paragraph" w:styleId="Title">
    <w:name w:val="Title"/>
    <w:basedOn w:val="Normal"/>
    <w:next w:val="Normal"/>
    <w:link w:val="TitleChar"/>
    <w:uiPriority w:val="10"/>
    <w:qFormat/>
    <w:rsid w:val="00F8391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39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39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39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391D"/>
    <w:pPr>
      <w:spacing w:before="160"/>
      <w:jc w:val="center"/>
    </w:pPr>
    <w:rPr>
      <w:i/>
      <w:iCs/>
      <w:color w:val="404040" w:themeColor="text1" w:themeTint="BF"/>
    </w:rPr>
  </w:style>
  <w:style w:type="character" w:customStyle="1" w:styleId="QuoteChar">
    <w:name w:val="Quote Char"/>
    <w:basedOn w:val="DefaultParagraphFont"/>
    <w:link w:val="Quote"/>
    <w:uiPriority w:val="29"/>
    <w:rsid w:val="00F8391D"/>
    <w:rPr>
      <w:i/>
      <w:iCs/>
      <w:color w:val="404040" w:themeColor="text1" w:themeTint="BF"/>
    </w:rPr>
  </w:style>
  <w:style w:type="paragraph" w:styleId="ListParagraph">
    <w:name w:val="List Paragraph"/>
    <w:basedOn w:val="Normal"/>
    <w:uiPriority w:val="34"/>
    <w:qFormat/>
    <w:rsid w:val="00F8391D"/>
    <w:pPr>
      <w:ind w:left="720"/>
      <w:contextualSpacing/>
    </w:pPr>
  </w:style>
  <w:style w:type="character" w:styleId="IntenseEmphasis">
    <w:name w:val="Intense Emphasis"/>
    <w:basedOn w:val="DefaultParagraphFont"/>
    <w:uiPriority w:val="21"/>
    <w:qFormat/>
    <w:rsid w:val="00F8391D"/>
    <w:rPr>
      <w:i/>
      <w:iCs/>
      <w:color w:val="0F4761" w:themeColor="accent1" w:themeShade="BF"/>
    </w:rPr>
  </w:style>
  <w:style w:type="paragraph" w:styleId="IntenseQuote">
    <w:name w:val="Intense Quote"/>
    <w:basedOn w:val="Normal"/>
    <w:next w:val="Normal"/>
    <w:link w:val="IntenseQuoteChar"/>
    <w:uiPriority w:val="30"/>
    <w:qFormat/>
    <w:rsid w:val="00F839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391D"/>
    <w:rPr>
      <w:i/>
      <w:iCs/>
      <w:color w:val="0F4761" w:themeColor="accent1" w:themeShade="BF"/>
    </w:rPr>
  </w:style>
  <w:style w:type="character" w:styleId="IntenseReference">
    <w:name w:val="Intense Reference"/>
    <w:basedOn w:val="DefaultParagraphFont"/>
    <w:uiPriority w:val="32"/>
    <w:qFormat/>
    <w:rsid w:val="00F8391D"/>
    <w:rPr>
      <w:b/>
      <w:bCs/>
      <w:smallCaps/>
      <w:color w:val="0F4761" w:themeColor="accent1" w:themeShade="BF"/>
      <w:spacing w:val="5"/>
    </w:rPr>
  </w:style>
  <w:style w:type="character" w:styleId="Hyperlink">
    <w:name w:val="Hyperlink"/>
    <w:basedOn w:val="DefaultParagraphFont"/>
    <w:unhideWhenUsed/>
    <w:rsid w:val="0015597F"/>
    <w:rPr>
      <w:color w:val="0000FF"/>
      <w:u w:val="single"/>
    </w:rPr>
  </w:style>
  <w:style w:type="paragraph" w:styleId="FootnoteText">
    <w:name w:val="footnote text"/>
    <w:aliases w:val="Footnote Text Char Char Char Char Char Char Char Char Char Char Char Char Char Char Char Char Char Char Char Char Char Char Char Char Char Char Char,Char, Char"/>
    <w:basedOn w:val="Normal"/>
    <w:link w:val="FootnoteTextChar"/>
    <w:qFormat/>
    <w:rsid w:val="0015597F"/>
    <w:rPr>
      <w:rFonts w:eastAsia="Times New Roman" w:cs="Times New Roman"/>
      <w:kern w:val="0"/>
      <w:sz w:val="22"/>
      <w:szCs w:val="20"/>
      <w14:ligatures w14:val="none"/>
    </w:rPr>
  </w:style>
  <w:style w:type="character" w:customStyle="1" w:styleId="FootnoteTextChar">
    <w:name w:val="Footnote Text Char"/>
    <w:aliases w:val="Footnote Text Char Char Char Char Char Char Char Char Char Char Char Char Char Char Char Char Char Char Char Char Char Char Char Char Char Char Char Char,Char Char, Char Char"/>
    <w:basedOn w:val="DefaultParagraphFont"/>
    <w:link w:val="FootnoteText"/>
    <w:rsid w:val="0015597F"/>
    <w:rPr>
      <w:rFonts w:ascii="Sitka Text" w:eastAsia="Times New Roman" w:hAnsi="Sitka Text" w:cs="Times New Roman"/>
      <w:kern w:val="0"/>
      <w:sz w:val="22"/>
      <w:szCs w:val="20"/>
      <w14:ligatures w14:val="none"/>
    </w:rPr>
  </w:style>
  <w:style w:type="character" w:styleId="FootnoteReference">
    <w:name w:val="footnote reference"/>
    <w:qFormat/>
    <w:rsid w:val="0015597F"/>
    <w:rPr>
      <w:rFonts w:ascii="Sitka Text" w:hAnsi="Sitka Text"/>
      <w:color w:val="auto"/>
      <w:sz w:val="22"/>
      <w:vertAlign w:val="superscript"/>
    </w:rPr>
  </w:style>
  <w:style w:type="paragraph" w:customStyle="1" w:styleId="Default">
    <w:name w:val="Default"/>
    <w:rsid w:val="00AE281A"/>
    <w:pPr>
      <w:autoSpaceDE w:val="0"/>
      <w:autoSpaceDN w:val="0"/>
      <w:adjustRightInd w:val="0"/>
      <w:spacing w:after="0" w:line="240" w:lineRule="auto"/>
    </w:pPr>
    <w:rPr>
      <w:rFonts w:ascii="Palatino" w:eastAsia="Times New Roman" w:hAnsi="Palatino" w:cs="Palatino"/>
      <w:color w:val="000000"/>
      <w:kern w:val="0"/>
      <w14:ligatures w14:val="none"/>
    </w:rPr>
  </w:style>
  <w:style w:type="paragraph" w:styleId="Header">
    <w:name w:val="header"/>
    <w:basedOn w:val="Normal"/>
    <w:link w:val="HeaderChar"/>
    <w:uiPriority w:val="99"/>
    <w:unhideWhenUsed/>
    <w:rsid w:val="001448CD"/>
    <w:pPr>
      <w:tabs>
        <w:tab w:val="center" w:pos="4680"/>
        <w:tab w:val="right" w:pos="9360"/>
      </w:tabs>
    </w:pPr>
  </w:style>
  <w:style w:type="character" w:customStyle="1" w:styleId="HeaderChar">
    <w:name w:val="Header Char"/>
    <w:basedOn w:val="DefaultParagraphFont"/>
    <w:link w:val="Header"/>
    <w:uiPriority w:val="99"/>
    <w:rsid w:val="001448CD"/>
    <w:rPr>
      <w:rFonts w:ascii="Sitka Text" w:hAnsi="Sitka Text"/>
    </w:rPr>
  </w:style>
  <w:style w:type="paragraph" w:styleId="Footer">
    <w:name w:val="footer"/>
    <w:basedOn w:val="Normal"/>
    <w:link w:val="FooterChar"/>
    <w:uiPriority w:val="99"/>
    <w:unhideWhenUsed/>
    <w:rsid w:val="001448CD"/>
    <w:pPr>
      <w:tabs>
        <w:tab w:val="center" w:pos="4680"/>
        <w:tab w:val="right" w:pos="9360"/>
      </w:tabs>
    </w:pPr>
  </w:style>
  <w:style w:type="character" w:customStyle="1" w:styleId="FooterChar">
    <w:name w:val="Footer Char"/>
    <w:basedOn w:val="DefaultParagraphFont"/>
    <w:link w:val="Footer"/>
    <w:uiPriority w:val="99"/>
    <w:rsid w:val="001448CD"/>
    <w:rPr>
      <w:rFonts w:ascii="Sitka Text" w:hAnsi="Sitka Text"/>
    </w:rPr>
  </w:style>
  <w:style w:type="character" w:styleId="UnresolvedMention">
    <w:name w:val="Unresolved Mention"/>
    <w:basedOn w:val="DefaultParagraphFont"/>
    <w:uiPriority w:val="99"/>
    <w:semiHidden/>
    <w:unhideWhenUsed/>
    <w:rsid w:val="00237E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587647">
      <w:bodyDiv w:val="1"/>
      <w:marLeft w:val="0"/>
      <w:marRight w:val="0"/>
      <w:marTop w:val="0"/>
      <w:marBottom w:val="0"/>
      <w:divBdr>
        <w:top w:val="none" w:sz="0" w:space="0" w:color="auto"/>
        <w:left w:val="none" w:sz="0" w:space="0" w:color="auto"/>
        <w:bottom w:val="none" w:sz="0" w:space="0" w:color="auto"/>
        <w:right w:val="none" w:sz="0" w:space="0" w:color="auto"/>
      </w:divBdr>
    </w:div>
    <w:div w:id="66586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tim@futurewise.org"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doh.wa.gov/data-and-statistical-reports/washington-tracking-network-wtn/pfas/dashboard" TargetMode="External"/><Relationship Id="rId13" Type="http://schemas.openxmlformats.org/officeDocument/2006/relationships/hyperlink" Target="https://apps.ecology.wa.gov/publications/documents/2011084.pdf" TargetMode="External"/><Relationship Id="rId3" Type="http://schemas.openxmlformats.org/officeDocument/2006/relationships/hyperlink" Target="http://www.spokesman.com/stories/2013/jan/13/water-wait/" TargetMode="External"/><Relationship Id="rId7" Type="http://schemas.openxmlformats.org/officeDocument/2006/relationships/hyperlink" Target="https://fortress.wa.gov/ecy/publications/publications/1203306.pdf" TargetMode="External"/><Relationship Id="rId12" Type="http://schemas.openxmlformats.org/officeDocument/2006/relationships/hyperlink" Target="https://www.epa.gov/smartgrowth/growing-toward-more-efficient-water-use" TargetMode="External"/><Relationship Id="rId2" Type="http://schemas.openxmlformats.org/officeDocument/2006/relationships/hyperlink" Target="https://apps.ecology.wa.gov/publications/SummaryPages/2112006.html" TargetMode="External"/><Relationship Id="rId1" Type="http://schemas.openxmlformats.org/officeDocument/2006/relationships/hyperlink" Target="https://www.seattletimes.com/seattle-news/climate-lab/trump-keeps-talking-about-taking-pnw-water-is-that-possible/" TargetMode="External"/><Relationship Id="rId6" Type="http://schemas.openxmlformats.org/officeDocument/2006/relationships/hyperlink" Target="https://fortress.wa.gov/ecy/publications/SummaryPages/1010009.html" TargetMode="External"/><Relationship Id="rId11" Type="http://schemas.openxmlformats.org/officeDocument/2006/relationships/hyperlink" Target="https://deptofcommerce.app.box.com/s/1d9d5l7g509r389f0mjpowh8isjpirlh" TargetMode="External"/><Relationship Id="rId5" Type="http://schemas.openxmlformats.org/officeDocument/2006/relationships/hyperlink" Target="https://fortress.wa.gov/ecy/publications/SummaryPages/1203026.html" TargetMode="External"/><Relationship Id="rId10" Type="http://schemas.openxmlformats.org/officeDocument/2006/relationships/hyperlink" Target="https://onlinelibrary.wiley.com/page/journal/17521688/homepage/forauthors.html" TargetMode="External"/><Relationship Id="rId4" Type="http://schemas.openxmlformats.org/officeDocument/2006/relationships/hyperlink" Target="http://www.spokesman.com/stories/2013/feb/06/columbia-plateau-aquifers-declining/" TargetMode="External"/><Relationship Id="rId9" Type="http://schemas.openxmlformats.org/officeDocument/2006/relationships/hyperlink" Target="https://asu.elsevierpure.com/en/publications/building-type-housing-density-and-water-use-denver-water-data-and" TargetMode="External"/><Relationship Id="rId14" Type="http://schemas.openxmlformats.org/officeDocument/2006/relationships/hyperlink" Target="https://apps.ecology.wa.gov/publications/SummaryPages/201101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42E54B64AFC2419408F5A24FB7A5CF" ma:contentTypeVersion="16" ma:contentTypeDescription="Create a new document." ma:contentTypeScope="" ma:versionID="a304379c4f7f314541e6041aca8435ef">
  <xsd:schema xmlns:xsd="http://www.w3.org/2001/XMLSchema" xmlns:xs="http://www.w3.org/2001/XMLSchema" xmlns:p="http://schemas.microsoft.com/office/2006/metadata/properties" xmlns:ns2="dbddcb69-d7d8-4674-9278-4d039f7858a0" xmlns:ns3="ffa4d0e2-96f2-49e5-945e-1acd45c7648a" targetNamespace="http://schemas.microsoft.com/office/2006/metadata/properties" ma:root="true" ma:fieldsID="c2b1ae0c969a29dbafa69e73dd2c0275" ns2:_="" ns3:_="">
    <xsd:import namespace="dbddcb69-d7d8-4674-9278-4d039f7858a0"/>
    <xsd:import namespace="ffa4d0e2-96f2-49e5-945e-1acd45c7648a"/>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ddcb69-d7d8-4674-9278-4d039f7858a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17" nillable="true" ma:displayName="Taxonomy Catch All Column" ma:hidden="true" ma:list="{68e5433e-91ee-4e60-9c5d-37ca290c20a2}" ma:internalName="TaxCatchAll" ma:showField="CatchAllData" ma:web="dbddcb69-d7d8-4674-9278-4d039f7858a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a4d0e2-96f2-49e5-945e-1acd45c7648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b2b42a-a116-4e99-acae-06b7e5c79cc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fa4d0e2-96f2-49e5-945e-1acd45c7648a">
      <Terms xmlns="http://schemas.microsoft.com/office/infopath/2007/PartnerControls"/>
    </lcf76f155ced4ddcb4097134ff3c332f>
    <TaxCatchAll xmlns="dbddcb69-d7d8-4674-9278-4d039f7858a0" xsi:nil="true"/>
  </documentManagement>
</p:properties>
</file>

<file path=customXml/itemProps1.xml><?xml version="1.0" encoding="utf-8"?>
<ds:datastoreItem xmlns:ds="http://schemas.openxmlformats.org/officeDocument/2006/customXml" ds:itemID="{1813E6B5-B962-418F-ACAA-B29912EFA5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ddcb69-d7d8-4674-9278-4d039f7858a0"/>
    <ds:schemaRef ds:uri="ffa4d0e2-96f2-49e5-945e-1acd45c764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53D0BC-D337-4F0C-9B5F-0DF4B5F83798}">
  <ds:schemaRefs>
    <ds:schemaRef ds:uri="http://schemas.microsoft.com/sharepoint/v3/contenttype/forms"/>
  </ds:schemaRefs>
</ds:datastoreItem>
</file>

<file path=customXml/itemProps3.xml><?xml version="1.0" encoding="utf-8"?>
<ds:datastoreItem xmlns:ds="http://schemas.openxmlformats.org/officeDocument/2006/customXml" ds:itemID="{F1AB9FD3-1DA2-40EA-B278-F1AC43908E15}">
  <ds:schemaRefs>
    <ds:schemaRef ds:uri="http://schemas.microsoft.com/office/2006/metadata/properties"/>
    <ds:schemaRef ds:uri="http://schemas.microsoft.com/office/infopath/2007/PartnerControls"/>
    <ds:schemaRef ds:uri="ffa4d0e2-96f2-49e5-945e-1acd45c7648a"/>
    <ds:schemaRef ds:uri="dbddcb69-d7d8-4674-9278-4d039f7858a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1894</Words>
  <Characters>10797</Characters>
  <Application>Microsoft Office Word</Application>
  <DocSecurity>4</DocSecurity>
  <Lines>89</Lines>
  <Paragraphs>25</Paragraphs>
  <ScaleCrop>false</ScaleCrop>
  <Company/>
  <LinksUpToDate>false</LinksUpToDate>
  <CharactersWithSpaces>12666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Trohimovich</dc:creator>
  <cp:keywords/>
  <dc:description/>
  <cp:lastModifiedBy>MarkWardrop@SCBAORG.local</cp:lastModifiedBy>
  <cp:revision>2</cp:revision>
  <dcterms:created xsi:type="dcterms:W3CDTF">2025-05-15T21:15:00Z</dcterms:created>
  <dcterms:modified xsi:type="dcterms:W3CDTF">2025-05-15T21:15:00Z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0x0101006C42E54B64AFC2419408F5A24FB7A5CF</vt:lpwstr>
  </property>
  <property fmtid="{D5CDD505-2E9C-101B-9397-08002B2CF9AE}" pid="3" name="MediaServiceImageTags">
    <vt:lpwstr/>
  </property>
</Properties>
</file>