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439F0" w:rsidR="348ED143" w:rsidP="7AF32792" w:rsidRDefault="348ED143" w14:paraId="55AFCC5B" w14:textId="6144F989">
      <w:pPr>
        <w:pStyle w:val="Normal"/>
        <w:spacing w:before="0" w:beforeAutospacing="off" w:after="0" w:afterAutospacing="off"/>
        <w:rPr>
          <w:rFonts w:ascii="Arial" w:hAnsi="Arial" w:eastAsia="Arial" w:cs="Arial"/>
          <w:sz w:val="28"/>
          <w:szCs w:val="28"/>
        </w:rPr>
      </w:pPr>
      <w:r w:rsidRPr="7AF32792" w:rsidR="710963A2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  <w:t>2026 Edmonton Chamber of Commerce - Director Personas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color w:val="ED0000"/>
          <w:sz w:val="36"/>
          <w:szCs w:val="36"/>
          <w:lang w:val="en-US"/>
        </w:rPr>
        <w:t xml:space="preserve"> </w:t>
      </w:r>
    </w:p>
    <w:p w:rsidRPr="007439F0" w:rsidR="348ED143" w:rsidP="7AF32792" w:rsidRDefault="348ED143" w14:paraId="3C6A21DA" w14:textId="792F4400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</w:pPr>
    </w:p>
    <w:p w:rsidRPr="007439F0" w:rsidR="348ED143" w:rsidP="7AF32792" w:rsidRDefault="348ED143" w14:paraId="66A71780" w14:textId="50861B10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7AF32792" w:rsidR="710963A2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  <w:t xml:space="preserve">Director Nomination Process </w:t>
      </w:r>
    </w:p>
    <w:p w:rsidRPr="007439F0" w:rsidR="348ED143" w:rsidP="7AF32792" w:rsidRDefault="348ED143" w14:paraId="0F06A81C" w14:textId="1927510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Pr="007439F0" w:rsidR="348ED143" w:rsidP="1B019BB0" w:rsidRDefault="348ED143" w14:paraId="4B946CAE" w14:textId="05F669A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1B019BB0" w:rsidR="32916C7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B</w:t>
      </w:r>
      <w:r w:rsidRPr="1B019BB0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elow are the</w:t>
      </w:r>
      <w:r w:rsidRPr="1B019BB0" w:rsidR="02F54BF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1B019BB0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target personas or profiles for candidates that satisfy gaps in experience, skills, capabilities, and mindsets for the desired 2026 board: </w:t>
      </w:r>
    </w:p>
    <w:p w:rsidRPr="007439F0" w:rsidR="348ED143" w:rsidP="7AF32792" w:rsidRDefault="348ED143" w14:paraId="7C4C84E8" w14:textId="5051CFD2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</w:pPr>
    </w:p>
    <w:p w:rsidRPr="007439F0" w:rsidR="348ED143" w:rsidP="7AF32792" w:rsidRDefault="348ED143" w14:paraId="42FE287C" w14:textId="3692233D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AF32792" w:rsidR="710963A2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Finance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(Director): A seasoned finance professional with 10+ years in industry or 5+ years in private practice, including audit and public accounting experience. This candidate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possesses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strong technical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expertise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in financial analysis and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reporting and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is adept at working with auditors and internal teams to evaluate financials. Their deep understanding of compliance and fiscal governance ensures robust oversight and strategic financial stewardship. </w:t>
      </w:r>
    </w:p>
    <w:p w:rsidRPr="007439F0" w:rsidR="348ED143" w:rsidP="7AF32792" w:rsidRDefault="348ED143" w14:paraId="46C7A615" w14:textId="28C270E1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AF32792" w:rsidR="710963A2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Manufacturing Industry Leader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(Director): A senior executive with over a decade of leadership experience in the construction and/or manufacturing industry. A leader in their own association. This individual brings a wealth of industry knowledge, advocacy experience, and stakeholder engagement skills. Their proven ability to lead complex organizations and influence policy makes them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a valuable asset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representing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sectoral interests and guiding strategic initiatives. </w:t>
      </w:r>
    </w:p>
    <w:p w:rsidRPr="007439F0" w:rsidR="348ED143" w:rsidP="7AF32792" w:rsidRDefault="348ED143" w14:paraId="7573442E" w14:textId="3EBDE59D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AF32792" w:rsidR="710963A2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Technology &amp; Innovation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(Director): An emerging leader in AI, technology, and innovation, with 5+ years of industry experience. This candidate offers forward-thinking insights into digital transformation, product development, and emerging tech trends. Their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expertise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supports the board’s innovation agenda and ensures alignment with evolving technological landscapes. </w:t>
      </w:r>
    </w:p>
    <w:p w:rsidRPr="007439F0" w:rsidR="348ED143" w:rsidP="7AF32792" w:rsidRDefault="348ED143" w14:paraId="1E1FFEEC" w14:textId="19035D47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AF32792" w:rsidR="710963A2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Education (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Director): A senior leader from a public secondary institution, with a strong background in education, workforce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development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and/or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trades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This candidate bridges the gap between education and industry, offering strategic guidance on talent pipelines, institutional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partnerships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possibly inter-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provincial trade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expertise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Their experience enhances the board’s capacity to support long-term economic sustainability through skilled workforce initiatives. </w:t>
      </w:r>
    </w:p>
    <w:p w:rsidRPr="007439F0" w:rsidR="348ED143" w:rsidP="7AF32792" w:rsidRDefault="348ED143" w14:paraId="51C670DE" w14:textId="31AAC4F8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AF32792" w:rsidR="710963A2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Marketing &amp; Branding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(Director): A recognized leader in destination marketing, with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a track record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of shaping brand strategies that elevate regional economic ecosystems—particularly in Edmonton. This candidate combines governance experience with a visionary approach to place-based branding, making them instrumental in aligning board 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objectives</w:t>
      </w:r>
      <w:r w:rsidRPr="7AF32792" w:rsidR="710963A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with community and economic development goals.</w:t>
      </w:r>
    </w:p>
    <w:sectPr w:rsidRPr="007439F0" w:rsidR="348ED143" w:rsidSect="007439F0">
      <w:headerReference w:type="default" r:id="rId11"/>
      <w:footerReference w:type="default" r:id="rId12"/>
      <w:pgSz w:w="12240" w:h="15840" w:orient="portrait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4E94" w:rsidP="00F74E94" w:rsidRDefault="00F74E94" w14:paraId="767451C9" w14:textId="77777777">
      <w:pPr>
        <w:spacing w:after="0" w:line="240" w:lineRule="auto"/>
      </w:pPr>
      <w:r>
        <w:separator/>
      </w:r>
    </w:p>
  </w:endnote>
  <w:endnote w:type="continuationSeparator" w:id="0">
    <w:p w:rsidR="00F74E94" w:rsidP="00F74E94" w:rsidRDefault="00F74E94" w14:paraId="5C27B3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74E94" w:rsidRDefault="009A501A" w14:paraId="2FD1E16F" w14:textId="39E945A2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DFEE875" wp14:editId="45212B3F">
          <wp:simplePos x="0" y="0"/>
          <wp:positionH relativeFrom="column">
            <wp:posOffset>-922021</wp:posOffset>
          </wp:positionH>
          <wp:positionV relativeFrom="paragraph">
            <wp:posOffset>-2343785</wp:posOffset>
          </wp:positionV>
          <wp:extent cx="7835355" cy="2966720"/>
          <wp:effectExtent l="0" t="0" r="0" b="0"/>
          <wp:wrapNone/>
          <wp:docPr id="913975966" name="Picture 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23549" name="Picture 5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739"/>
                  <a:stretch/>
                </pic:blipFill>
                <pic:spPr bwMode="auto">
                  <a:xfrm>
                    <a:off x="0" y="0"/>
                    <a:ext cx="7840803" cy="2968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4E94" w:rsidP="00F74E94" w:rsidRDefault="00F74E94" w14:paraId="3241E1BA" w14:textId="77777777">
      <w:pPr>
        <w:spacing w:after="0" w:line="240" w:lineRule="auto"/>
      </w:pPr>
      <w:r>
        <w:separator/>
      </w:r>
    </w:p>
  </w:footnote>
  <w:footnote w:type="continuationSeparator" w:id="0">
    <w:p w:rsidR="00F74E94" w:rsidP="00F74E94" w:rsidRDefault="00F74E94" w14:paraId="1F9284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74E94" w:rsidRDefault="00C34EA1" w14:paraId="77133ACB" w14:textId="37F10BDE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9124B7" wp14:editId="097B3367">
          <wp:simplePos x="0" y="0"/>
          <wp:positionH relativeFrom="column">
            <wp:posOffset>-922020</wp:posOffset>
          </wp:positionH>
          <wp:positionV relativeFrom="paragraph">
            <wp:posOffset>-662940</wp:posOffset>
          </wp:positionV>
          <wp:extent cx="7755286" cy="1859280"/>
          <wp:effectExtent l="0" t="0" r="0" b="0"/>
          <wp:wrapNone/>
          <wp:docPr id="1745482935" name="Picture 1" descr="A screen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482935" name="Picture 1" descr="A screenshot of a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473"/>
                  <a:stretch/>
                </pic:blipFill>
                <pic:spPr bwMode="auto">
                  <a:xfrm>
                    <a:off x="0" y="0"/>
                    <a:ext cx="7755286" cy="1859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286751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7BA006"/>
    <w:multiLevelType w:val="hybridMultilevel"/>
    <w:tmpl w:val="0A6C3B1E"/>
    <w:lvl w:ilvl="0" w:tplc="55E8127A">
      <w:start w:val="1"/>
      <w:numFmt w:val="decimal"/>
      <w:lvlText w:val="%1."/>
      <w:lvlJc w:val="left"/>
      <w:pPr>
        <w:ind w:left="720" w:hanging="360"/>
      </w:pPr>
    </w:lvl>
    <w:lvl w:ilvl="1" w:tplc="527A9D08">
      <w:start w:val="1"/>
      <w:numFmt w:val="lowerLetter"/>
      <w:lvlText w:val="%2."/>
      <w:lvlJc w:val="left"/>
      <w:pPr>
        <w:ind w:left="1440" w:hanging="360"/>
      </w:pPr>
    </w:lvl>
    <w:lvl w:ilvl="2" w:tplc="BEB6CDA2">
      <w:start w:val="1"/>
      <w:numFmt w:val="lowerRoman"/>
      <w:lvlText w:val="%3."/>
      <w:lvlJc w:val="right"/>
      <w:pPr>
        <w:ind w:left="2160" w:hanging="180"/>
      </w:pPr>
    </w:lvl>
    <w:lvl w:ilvl="3" w:tplc="36BAD9DE">
      <w:start w:val="1"/>
      <w:numFmt w:val="decimal"/>
      <w:lvlText w:val="%4."/>
      <w:lvlJc w:val="left"/>
      <w:pPr>
        <w:ind w:left="2880" w:hanging="360"/>
      </w:pPr>
    </w:lvl>
    <w:lvl w:ilvl="4" w:tplc="9E7CAA02">
      <w:start w:val="1"/>
      <w:numFmt w:val="lowerLetter"/>
      <w:lvlText w:val="%5."/>
      <w:lvlJc w:val="left"/>
      <w:pPr>
        <w:ind w:left="3600" w:hanging="360"/>
      </w:pPr>
    </w:lvl>
    <w:lvl w:ilvl="5" w:tplc="BCC455B2">
      <w:start w:val="1"/>
      <w:numFmt w:val="lowerRoman"/>
      <w:lvlText w:val="%6."/>
      <w:lvlJc w:val="right"/>
      <w:pPr>
        <w:ind w:left="4320" w:hanging="180"/>
      </w:pPr>
    </w:lvl>
    <w:lvl w:ilvl="6" w:tplc="080053C6">
      <w:start w:val="1"/>
      <w:numFmt w:val="decimal"/>
      <w:lvlText w:val="%7."/>
      <w:lvlJc w:val="left"/>
      <w:pPr>
        <w:ind w:left="5040" w:hanging="360"/>
      </w:pPr>
    </w:lvl>
    <w:lvl w:ilvl="7" w:tplc="3DC2C51C">
      <w:start w:val="1"/>
      <w:numFmt w:val="lowerLetter"/>
      <w:lvlText w:val="%8."/>
      <w:lvlJc w:val="left"/>
      <w:pPr>
        <w:ind w:left="5760" w:hanging="360"/>
      </w:pPr>
    </w:lvl>
    <w:lvl w:ilvl="8" w:tplc="3BBC0C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22F7A"/>
    <w:multiLevelType w:val="hybridMultilevel"/>
    <w:tmpl w:val="A954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17DF0"/>
    <w:multiLevelType w:val="hybridMultilevel"/>
    <w:tmpl w:val="56521CAA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3" w15:restartNumberingAfterBreak="0">
    <w:nsid w:val="4A9F4800"/>
    <w:multiLevelType w:val="hybridMultilevel"/>
    <w:tmpl w:val="AA447C2E"/>
    <w:lvl w:ilvl="0" w:tplc="50FAEA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84E8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A04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6A26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1023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7604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EEF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6E9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C45D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3E6EB8"/>
    <w:multiLevelType w:val="hybridMultilevel"/>
    <w:tmpl w:val="31166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435CE"/>
    <w:multiLevelType w:val="hybridMultilevel"/>
    <w:tmpl w:val="1220BFAE"/>
    <w:lvl w:ilvl="0" w:tplc="1ABC18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60C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F2E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08F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8B9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4A9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9ABC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D8B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E2E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DC244D"/>
    <w:multiLevelType w:val="hybridMultilevel"/>
    <w:tmpl w:val="C40A570C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 w16cid:durableId="1825582955">
    <w:abstractNumId w:val="0"/>
  </w:num>
  <w:num w:numId="2" w16cid:durableId="183136105">
    <w:abstractNumId w:val="5"/>
  </w:num>
  <w:num w:numId="3" w16cid:durableId="543371412">
    <w:abstractNumId w:val="3"/>
  </w:num>
  <w:num w:numId="4" w16cid:durableId="374501590">
    <w:abstractNumId w:val="6"/>
  </w:num>
  <w:num w:numId="5" w16cid:durableId="2114551601">
    <w:abstractNumId w:val="2"/>
  </w:num>
  <w:num w:numId="6" w16cid:durableId="1454521716">
    <w:abstractNumId w:val="1"/>
  </w:num>
  <w:num w:numId="7" w16cid:durableId="767773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94"/>
    <w:rsid w:val="00201EDF"/>
    <w:rsid w:val="003D5480"/>
    <w:rsid w:val="004108DD"/>
    <w:rsid w:val="0055E418"/>
    <w:rsid w:val="00567516"/>
    <w:rsid w:val="005E520D"/>
    <w:rsid w:val="005F05F6"/>
    <w:rsid w:val="007439F0"/>
    <w:rsid w:val="00852F59"/>
    <w:rsid w:val="00861D4C"/>
    <w:rsid w:val="009A501A"/>
    <w:rsid w:val="009C2E60"/>
    <w:rsid w:val="00A53823"/>
    <w:rsid w:val="00B7120D"/>
    <w:rsid w:val="00C34EA1"/>
    <w:rsid w:val="00D46B52"/>
    <w:rsid w:val="00F030E8"/>
    <w:rsid w:val="00F52A68"/>
    <w:rsid w:val="00F57150"/>
    <w:rsid w:val="00F74E94"/>
    <w:rsid w:val="02F54BF4"/>
    <w:rsid w:val="065E4685"/>
    <w:rsid w:val="08937096"/>
    <w:rsid w:val="08D3A8EC"/>
    <w:rsid w:val="11572EAE"/>
    <w:rsid w:val="148F247D"/>
    <w:rsid w:val="1A73F069"/>
    <w:rsid w:val="1B019BB0"/>
    <w:rsid w:val="1E80332E"/>
    <w:rsid w:val="23E52BD8"/>
    <w:rsid w:val="25AFED1A"/>
    <w:rsid w:val="29D3612E"/>
    <w:rsid w:val="29DDB088"/>
    <w:rsid w:val="2D289AC3"/>
    <w:rsid w:val="32916C74"/>
    <w:rsid w:val="32A05499"/>
    <w:rsid w:val="348ED143"/>
    <w:rsid w:val="3558B871"/>
    <w:rsid w:val="378D40C6"/>
    <w:rsid w:val="3960A3B4"/>
    <w:rsid w:val="3A3FF1DF"/>
    <w:rsid w:val="3DC58781"/>
    <w:rsid w:val="4A143D5C"/>
    <w:rsid w:val="4B21EBDC"/>
    <w:rsid w:val="4F566517"/>
    <w:rsid w:val="556EDB64"/>
    <w:rsid w:val="55AE9A98"/>
    <w:rsid w:val="56A85E47"/>
    <w:rsid w:val="5B783088"/>
    <w:rsid w:val="5F0C1D8E"/>
    <w:rsid w:val="66E8F3EF"/>
    <w:rsid w:val="67321ABA"/>
    <w:rsid w:val="6DF18512"/>
    <w:rsid w:val="710963A2"/>
    <w:rsid w:val="71F556A2"/>
    <w:rsid w:val="772FE99E"/>
    <w:rsid w:val="78A73BEE"/>
    <w:rsid w:val="7AF32792"/>
    <w:rsid w:val="7BD40333"/>
    <w:rsid w:val="7E41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FDEEB"/>
  <w15:chartTrackingRefBased/>
  <w15:docId w15:val="{3C4438CE-6302-4FC7-870B-25A237F3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39F0"/>
  </w:style>
  <w:style w:type="paragraph" w:styleId="Heading1">
    <w:name w:val="heading 1"/>
    <w:basedOn w:val="Normal"/>
    <w:next w:val="Normal"/>
    <w:link w:val="Heading1Char"/>
    <w:uiPriority w:val="9"/>
    <w:qFormat/>
    <w:rsid w:val="00F74E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E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74E9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74E9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74E9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74E94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74E94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74E9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74E9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74E9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74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E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4E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7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E9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74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E9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4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E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E9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4E94"/>
  </w:style>
  <w:style w:type="paragraph" w:styleId="Footer">
    <w:name w:val="footer"/>
    <w:basedOn w:val="Normal"/>
    <w:link w:val="FooterChar"/>
    <w:uiPriority w:val="99"/>
    <w:unhideWhenUsed/>
    <w:rsid w:val="00F74E9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4E94"/>
  </w:style>
  <w:style w:type="table" w:styleId="TableGrid">
    <w:name w:val="Table Grid"/>
    <w:basedOn w:val="TableNormal"/>
    <w:uiPriority w:val="39"/>
    <w:rsid w:val="00F74E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ECC-Green" w:customStyle="1">
    <w:name w:val="ECC-Green"/>
    <w:basedOn w:val="TableList6"/>
    <w:uiPriority w:val="99"/>
    <w:rsid w:val="00F74E94"/>
    <w:pPr>
      <w:spacing w:after="0" w:line="240" w:lineRule="auto"/>
    </w:pPr>
    <w:tblPr/>
    <w:tcPr>
      <w:shd w:val="clear" w:color="auto" w:fill="3FA266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6">
    <w:name w:val="Table List 6"/>
    <w:basedOn w:val="TableNormal"/>
    <w:uiPriority w:val="99"/>
    <w:semiHidden/>
    <w:unhideWhenUsed/>
    <w:rsid w:val="00F74E9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GridLight">
    <w:name w:val="Grid Table Light"/>
    <w:basedOn w:val="TableNormal"/>
    <w:uiPriority w:val="40"/>
    <w:rsid w:val="00F74E9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Spacing">
    <w:name w:val="No Spacing"/>
    <w:uiPriority w:val="1"/>
    <w:qFormat/>
    <w:rsid w:val="00D46B52"/>
    <w:pPr>
      <w:spacing w:after="0" w:line="240" w:lineRule="auto"/>
    </w:pPr>
    <w:rPr>
      <w:rFonts w:ascii="Gotham Book" w:hAnsi="Gotham Book" w:cs="Times New Roman (Body CS)"/>
      <w:kern w:val="0"/>
      <w:sz w:val="20"/>
      <w:szCs w:val="24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743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9AB2E6CCFE4CA57BF4E67C0A0CFD" ma:contentTypeVersion="19" ma:contentTypeDescription="Create a new document." ma:contentTypeScope="" ma:versionID="35d6c0f8a36ab9fd0b9d1510f6073aca">
  <xsd:schema xmlns:xsd="http://www.w3.org/2001/XMLSchema" xmlns:xs="http://www.w3.org/2001/XMLSchema" xmlns:p="http://schemas.microsoft.com/office/2006/metadata/properties" xmlns:ns2="f2ae9279-81a5-4b98-8438-a1d72adc8763" xmlns:ns3="9a849308-5df3-4a66-8e4f-43df997ab356" targetNamespace="http://schemas.microsoft.com/office/2006/metadata/properties" ma:root="true" ma:fieldsID="169502775163dc972c99ab5d2edf4ec1" ns2:_="" ns3:_="">
    <xsd:import namespace="f2ae9279-81a5-4b98-8438-a1d72adc8763"/>
    <xsd:import namespace="9a849308-5df3-4a66-8e4f-43df997ab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e9279-81a5-4b98-8438-a1d72adc8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1890d8-61fa-4ded-a64f-ca8657ab4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9308-5df3-4a66-8e4f-43df997ab35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f8ec07f-7f6b-4f91-b0de-9a68ddde484b}" ma:internalName="TaxCatchAll" ma:showField="CatchAllData" ma:web="9a849308-5df3-4a66-8e4f-43df997ab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849308-5df3-4a66-8e4f-43df997ab356">
      <UserInfo>
        <DisplayName/>
        <AccountId xsi:nil="true"/>
        <AccountType/>
      </UserInfo>
    </SharedWithUsers>
    <TaxCatchAll xmlns="9a849308-5df3-4a66-8e4f-43df997ab356" xsi:nil="true"/>
    <lcf76f155ced4ddcb4097134ff3c332f xmlns="f2ae9279-81a5-4b98-8438-a1d72adc8763">
      <Terms xmlns="http://schemas.microsoft.com/office/infopath/2007/PartnerControls"/>
    </lcf76f155ced4ddcb4097134ff3c332f>
    <Image xmlns="f2ae9279-81a5-4b98-8438-a1d72adc8763" xsi:nil="true"/>
  </documentManagement>
</p:properties>
</file>

<file path=customXml/itemProps1.xml><?xml version="1.0" encoding="utf-8"?>
<ds:datastoreItem xmlns:ds="http://schemas.openxmlformats.org/officeDocument/2006/customXml" ds:itemID="{D26E11AC-D20E-45BC-8C58-4220162B9410}"/>
</file>

<file path=customXml/itemProps2.xml><?xml version="1.0" encoding="utf-8"?>
<ds:datastoreItem xmlns:ds="http://schemas.openxmlformats.org/officeDocument/2006/customXml" ds:itemID="{634C4BCF-5784-499A-907A-4B5FE6D02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E2077-1852-469D-B2AC-B15C54555267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01e25f4-2a0a-4711-a37d-3cb3f65bb907"/>
    <ds:schemaRef ds:uri="http://schemas.microsoft.com/office/infopath/2007/PartnerControls"/>
    <ds:schemaRef ds:uri="b06843bf-c6ea-4326-a342-de6cde24b918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Akanksha Bhatnagar</dc:creator>
  <keywords/>
  <dc:description/>
  <lastModifiedBy>Akanksha Bhatnagar</lastModifiedBy>
  <revision>8</revision>
  <dcterms:created xsi:type="dcterms:W3CDTF">2024-09-03T21:15:00.0000000Z</dcterms:created>
  <dcterms:modified xsi:type="dcterms:W3CDTF">2025-09-19T01:40:59.1025818Z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692f925e-acd9-4869-b861-8859d46ba1bb</vt:lpwstr>
  </property>
  <property fmtid="{D5CDD505-2E9C-101B-9397-08002B2CF9AE}" pid="3" name="ContentTypeId">
    <vt:lpwstr>0x01010080E09AB2E6CCFE4CA57BF4E67C0A0CFD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