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5D3E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64" w:lineRule="exact"/>
        <w:outlineLvl w:val="0"/>
        <w:rPr>
          <w:rFonts w:ascii="Times New Roman" w:hAnsi="Times New Roman" w:cs="Times New Roman"/>
          <w:kern w:val="0"/>
          <w:sz w:val="40"/>
          <w:szCs w:val="40"/>
        </w:rPr>
      </w:pPr>
    </w:p>
    <w:p w14:paraId="448E5A2C" w14:textId="34F81D05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64" w:lineRule="exact"/>
        <w:ind w:left="40"/>
        <w:outlineLvl w:val="0"/>
        <w:rPr>
          <w:rFonts w:ascii="Calibri Light" w:hAnsi="Calibri Light" w:cs="Calibri Light"/>
          <w:kern w:val="0"/>
          <w:sz w:val="26"/>
          <w:szCs w:val="26"/>
        </w:rPr>
      </w:pPr>
      <w:hyperlink w:anchor="bookmark1" w:history="1">
        <w:r w:rsidRPr="00772C98">
          <w:rPr>
            <w:rFonts w:ascii="Calibri Light" w:hAnsi="Calibri Light" w:cs="Calibri Light"/>
            <w:kern w:val="0"/>
            <w:sz w:val="26"/>
            <w:szCs w:val="26"/>
            <w:u w:val="single"/>
          </w:rPr>
          <w:t>Eligible Expenses</w:t>
        </w:r>
      </w:hyperlink>
    </w:p>
    <w:p w14:paraId="242614D7" w14:textId="77777777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Allowable activities and associated expenses include:</w:t>
      </w:r>
    </w:p>
    <w:p w14:paraId="63FA4130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right="78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Expansion of existing program: number of summer weeks and hours, number of children served, staffing, space, activities, add a site, etc.</w:t>
      </w:r>
    </w:p>
    <w:p w14:paraId="12A3BA6A" w14:textId="77777777" w:rsidR="00772C98" w:rsidRPr="00772C98" w:rsidRDefault="00772C98" w:rsidP="00772C98">
      <w:pPr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8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Establishment of a new program</w:t>
      </w:r>
    </w:p>
    <w:p w14:paraId="2E331E2B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Salaries and fringe benefits</w:t>
      </w:r>
    </w:p>
    <w:p w14:paraId="7A193128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Professional learning and training related to the improvement of the program(s)</w:t>
      </w:r>
    </w:p>
    <w:p w14:paraId="337FCE0F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60" w:right="154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 xml:space="preserve">Field trips </w:t>
      </w:r>
      <w:proofErr w:type="gramStart"/>
      <w:r w:rsidRPr="00772C98">
        <w:rPr>
          <w:rFonts w:ascii="Calibri Light" w:hAnsi="Calibri Light" w:cs="Calibri Light"/>
          <w:kern w:val="0"/>
          <w:sz w:val="22"/>
          <w:szCs w:val="22"/>
        </w:rPr>
        <w:t>aligned</w:t>
      </w:r>
      <w:proofErr w:type="gramEnd"/>
      <w:r w:rsidRPr="00772C98">
        <w:rPr>
          <w:rFonts w:ascii="Calibri Light" w:hAnsi="Calibri Light" w:cs="Calibri Light"/>
          <w:kern w:val="0"/>
          <w:sz w:val="22"/>
          <w:szCs w:val="22"/>
        </w:rPr>
        <w:t xml:space="preserve"> with learning acceleration activities;</w:t>
      </w:r>
      <w:r w:rsidRPr="00772C98">
        <w:rPr>
          <w:rFonts w:ascii="Calibri Light" w:hAnsi="Calibri Light" w:cs="Calibri Light"/>
          <w:spacing w:val="-2"/>
          <w:kern w:val="0"/>
          <w:sz w:val="22"/>
          <w:szCs w:val="22"/>
        </w:rPr>
        <w:t xml:space="preserve"> </w:t>
      </w:r>
      <w:r w:rsidRPr="00772C98">
        <w:rPr>
          <w:rFonts w:ascii="Calibri Light" w:hAnsi="Calibri Light" w:cs="Calibri Light"/>
          <w:kern w:val="0"/>
          <w:sz w:val="22"/>
          <w:szCs w:val="22"/>
        </w:rPr>
        <w:t>college and career awareness; program goals and objectives as listed in the grant application; and have a</w:t>
      </w:r>
      <w:r w:rsidRPr="00772C98">
        <w:rPr>
          <w:rFonts w:ascii="Calibri Light" w:hAnsi="Calibri Light" w:cs="Calibri Light"/>
          <w:spacing w:val="-2"/>
          <w:kern w:val="0"/>
          <w:sz w:val="22"/>
          <w:szCs w:val="22"/>
        </w:rPr>
        <w:t xml:space="preserve"> </w:t>
      </w:r>
      <w:r w:rsidRPr="00772C98">
        <w:rPr>
          <w:rFonts w:ascii="Calibri Light" w:hAnsi="Calibri Light" w:cs="Calibri Light"/>
          <w:kern w:val="0"/>
          <w:sz w:val="22"/>
          <w:szCs w:val="22"/>
        </w:rPr>
        <w:t>positive impact on student growth and achievement.</w:t>
      </w:r>
    </w:p>
    <w:p w14:paraId="4910D91C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Consultants, subcontractors, and evaluators</w:t>
      </w:r>
    </w:p>
    <w:p w14:paraId="2461ED4B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60" w:right="85"/>
        <w:rPr>
          <w:rFonts w:ascii="Calibri Light" w:hAnsi="Calibri Light" w:cs="Calibri Light"/>
          <w:color w:val="000000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 xml:space="preserve">Program materials and supplies </w:t>
      </w:r>
    </w:p>
    <w:p w14:paraId="506DF399" w14:textId="77777777" w:rsidR="00772C98" w:rsidRPr="00772C98" w:rsidRDefault="00772C98" w:rsidP="00772C98">
      <w:pPr>
        <w:numPr>
          <w:ilvl w:val="1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22"/>
          <w:szCs w:val="22"/>
        </w:rPr>
      </w:pPr>
      <w:r>
        <w:rPr>
          <w:rFonts w:ascii="Calibri Light" w:hAnsi="Calibri Light" w:cs="Calibri Light"/>
          <w:kern w:val="0"/>
          <w:sz w:val="22"/>
          <w:szCs w:val="22"/>
        </w:rPr>
        <w:t xml:space="preserve">Technology expenses over 5000.00 per item are not allowed in the GRPA Boost 2.0 </w:t>
      </w:r>
    </w:p>
    <w:p w14:paraId="19E45B5E" w14:textId="77777777" w:rsidR="00772C98" w:rsidRPr="00772C98" w:rsidRDefault="00772C98" w:rsidP="00772C98">
      <w:pPr>
        <w:numPr>
          <w:ilvl w:val="1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22"/>
          <w:szCs w:val="22"/>
        </w:rPr>
      </w:pPr>
      <w:r>
        <w:rPr>
          <w:rFonts w:ascii="Calibri Light" w:hAnsi="Calibri Light" w:cs="Calibri Light"/>
          <w:kern w:val="0"/>
          <w:sz w:val="22"/>
          <w:szCs w:val="22"/>
        </w:rPr>
        <w:t xml:space="preserve">Capital Expenditures are not allowed in the GRPA Boost 2.0 </w:t>
      </w:r>
    </w:p>
    <w:p w14:paraId="2665E1D6" w14:textId="307BE596" w:rsidR="00772C98" w:rsidRPr="00772C98" w:rsidRDefault="00772C98" w:rsidP="00772C98">
      <w:pPr>
        <w:numPr>
          <w:ilvl w:val="1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22"/>
          <w:szCs w:val="22"/>
        </w:rPr>
      </w:pPr>
      <w:r>
        <w:rPr>
          <w:rFonts w:ascii="Calibri Light" w:hAnsi="Calibri Light" w:cs="Calibri Light"/>
          <w:kern w:val="0"/>
          <w:sz w:val="22"/>
          <w:szCs w:val="22"/>
        </w:rPr>
        <w:t xml:space="preserve">No Single item can exceed $4999.99 in the GRPA Boost 2.0  </w:t>
      </w:r>
    </w:p>
    <w:p w14:paraId="2D95A057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Transportation contracts</w:t>
      </w:r>
    </w:p>
    <w:p w14:paraId="6034FC06" w14:textId="7724802C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right="126" w:hanging="360"/>
        <w:rPr>
          <w:rFonts w:ascii="Calibri Light" w:hAnsi="Calibri Light" w:cs="Calibri Light"/>
          <w:color w:val="000000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 xml:space="preserve">Purchase of vehicles for transportation to and from program location </w:t>
      </w:r>
      <w:r>
        <w:rPr>
          <w:rFonts w:ascii="Calibri Light" w:hAnsi="Calibri Light" w:cs="Calibri Light"/>
          <w:kern w:val="0"/>
          <w:sz w:val="22"/>
          <w:szCs w:val="22"/>
        </w:rPr>
        <w:t xml:space="preserve">ARE NOT ALLOWED in GRPA Boost 2.0     </w:t>
      </w:r>
      <w:r w:rsidRPr="006E3F37">
        <w:rPr>
          <w:rFonts w:ascii="Calibri Light" w:hAnsi="Calibri Light" w:cs="Calibri Light"/>
          <w:kern w:val="0"/>
          <w:sz w:val="18"/>
          <w:szCs w:val="18"/>
        </w:rPr>
        <w:t>[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(e.g., buses, vans) (must submit Expenditure Prior Approval Form that can be found</w:t>
      </w:r>
      <w:r w:rsidRPr="00772C98">
        <w:rPr>
          <w:rFonts w:ascii="Calibri Light" w:hAnsi="Calibri Light" w:cs="Calibri Light"/>
          <w:spacing w:val="40"/>
          <w:kern w:val="0"/>
          <w:sz w:val="18"/>
          <w:szCs w:val="18"/>
        </w:rPr>
        <w:t xml:space="preserve"> </w:t>
      </w:r>
      <w:hyperlink r:id="rId7" w:history="1">
        <w:r w:rsidRPr="00772C98">
          <w:rPr>
            <w:rFonts w:ascii="Calibri" w:hAnsi="Calibri" w:cs="Calibri"/>
            <w:color w:val="0562C1"/>
            <w:kern w:val="0"/>
            <w:sz w:val="18"/>
            <w:szCs w:val="18"/>
            <w:u w:val="single"/>
          </w:rPr>
          <w:t>here</w:t>
        </w:r>
      </w:hyperlink>
      <w:r w:rsidRPr="00772C98">
        <w:rPr>
          <w:rFonts w:ascii="Calibri" w:hAnsi="Calibri" w:cs="Calibri"/>
          <w:color w:val="0562C1"/>
          <w:kern w:val="0"/>
          <w:sz w:val="18"/>
          <w:szCs w:val="18"/>
        </w:rPr>
        <w:t xml:space="preserve"> </w:t>
      </w:r>
      <w:r w:rsidRPr="00772C98">
        <w:rPr>
          <w:rFonts w:ascii="Calibri Light" w:hAnsi="Calibri Light" w:cs="Calibri Light"/>
          <w:color w:val="000000"/>
          <w:kern w:val="0"/>
          <w:sz w:val="18"/>
          <w:szCs w:val="18"/>
        </w:rPr>
        <w:t>and in Forms &amp; Attachments located in Section XIII)</w:t>
      </w:r>
      <w:r w:rsidRPr="006E3F37">
        <w:rPr>
          <w:rFonts w:ascii="Calibri Light" w:hAnsi="Calibri Light" w:cs="Calibri Light"/>
          <w:color w:val="000000"/>
          <w:kern w:val="0"/>
          <w:sz w:val="18"/>
          <w:szCs w:val="18"/>
        </w:rPr>
        <w:t>]</w:t>
      </w:r>
      <w:r>
        <w:rPr>
          <w:rFonts w:ascii="Calibri Light" w:hAnsi="Calibri Light" w:cs="Calibri Light"/>
          <w:color w:val="000000"/>
          <w:kern w:val="0"/>
          <w:sz w:val="22"/>
          <w:szCs w:val="22"/>
        </w:rPr>
        <w:t xml:space="preserve"> </w:t>
      </w:r>
    </w:p>
    <w:p w14:paraId="6BB56AE3" w14:textId="77777777" w:rsidR="00772C98" w:rsidRPr="00772C98" w:rsidRDefault="00772C98" w:rsidP="00772C98">
      <w:pPr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8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Food for healthy meals and snacks for students and participating adults during programs and field trips</w:t>
      </w:r>
    </w:p>
    <w:p w14:paraId="29D27835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spacing w:val="-2"/>
          <w:kern w:val="0"/>
          <w:sz w:val="22"/>
          <w:szCs w:val="22"/>
        </w:rPr>
      </w:pPr>
      <w:r w:rsidRPr="00772C98">
        <w:rPr>
          <w:rFonts w:ascii="Calibri Light" w:hAnsi="Calibri Light" w:cs="Calibri Light"/>
          <w:spacing w:val="-2"/>
          <w:kern w:val="0"/>
          <w:sz w:val="22"/>
          <w:szCs w:val="22"/>
        </w:rPr>
        <w:t>Equipment</w:t>
      </w:r>
    </w:p>
    <w:p w14:paraId="0A5A58E8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Planning and partnership development, particularly the development of school-community partnerships</w:t>
      </w:r>
    </w:p>
    <w:p w14:paraId="471172FB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right="45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Remedial education activities and academic enrichment learning programs, including providing additional assistance to students to allow the students to improve their learning acceleration</w:t>
      </w:r>
    </w:p>
    <w:p w14:paraId="0374D197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Literacy education programs, including financial literacy</w:t>
      </w:r>
    </w:p>
    <w:p w14:paraId="33994F7E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Provision of qualified instructors to provide math and literacy instruction</w:t>
      </w:r>
    </w:p>
    <w:p w14:paraId="1B8B731C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Hands-on enrichment programs</w:t>
      </w:r>
    </w:p>
    <w:p w14:paraId="4FCBC6F2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Integration of science, technology, engineering, and math (STEM) programming to build skills</w:t>
      </w:r>
    </w:p>
    <w:p w14:paraId="579C2095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Telecommunications and technology education activities</w:t>
      </w:r>
    </w:p>
    <w:p w14:paraId="1B9AD8D6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Arts and music education activities</w:t>
      </w:r>
    </w:p>
    <w:p w14:paraId="1E7D4204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Enrichment activities</w:t>
      </w:r>
    </w:p>
    <w:p w14:paraId="465A56BD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Activities that build college awareness and readiness</w:t>
      </w:r>
    </w:p>
    <w:p w14:paraId="12BE6ED9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Activities to explore careers and gain workforce skills</w:t>
      </w:r>
    </w:p>
    <w:p w14:paraId="2EAF3AAC" w14:textId="77777777" w:rsidR="00772C98" w:rsidRPr="00772C98" w:rsidRDefault="00772C98" w:rsidP="00772C98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Recreational activities</w:t>
      </w:r>
    </w:p>
    <w:p w14:paraId="136AA909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60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Integration of whole child supports and/or youth connectedness and well-being programming</w:t>
      </w:r>
    </w:p>
    <w:p w14:paraId="7DE37BDB" w14:textId="77777777" w:rsidR="00772C98" w:rsidRPr="00772C98" w:rsidRDefault="00772C98" w:rsidP="00772C98">
      <w:pPr>
        <w:numPr>
          <w:ilvl w:val="0"/>
          <w:numId w:val="2"/>
        </w:numPr>
        <w:tabs>
          <w:tab w:val="left" w:pos="76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61" w:right="86" w:hanging="360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Provision of resources to allow for full participation of youth receiving free or reduced-price lunch, students with disabilities and/or special needs, students experiencing homelessness, those in foster care, English language learners, and youth impacted by the juvenile justice system</w:t>
      </w:r>
    </w:p>
    <w:p w14:paraId="1B138C9A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60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Activities that support healthy and active lifestyle</w:t>
      </w:r>
    </w:p>
    <w:p w14:paraId="5805B627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Programming focused on drug and violence prevention, counseling, and character education</w:t>
      </w:r>
    </w:p>
    <w:p w14:paraId="6E29D792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hanging="359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Increase of youth supports (e.g., social worker, tutors, mentors, etc.)</w:t>
      </w:r>
    </w:p>
    <w:p w14:paraId="56400156" w14:textId="77777777" w:rsidR="00772C98" w:rsidRPr="00772C98" w:rsidRDefault="00772C98" w:rsidP="00772C98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hanging="359"/>
        <w:rPr>
          <w:rFonts w:ascii="Calibri Light" w:hAnsi="Calibri Light" w:cs="Calibri Light"/>
          <w:kern w:val="0"/>
          <w:sz w:val="22"/>
          <w:szCs w:val="22"/>
        </w:rPr>
        <w:sectPr w:rsidR="00772C98" w:rsidRPr="00772C98" w:rsidSect="00772C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70" w:right="1080" w:bottom="0" w:left="720" w:header="720" w:footer="720" w:gutter="0"/>
          <w:cols w:space="720"/>
          <w:noEndnote/>
        </w:sectPr>
      </w:pPr>
    </w:p>
    <w:p w14:paraId="202350A4" w14:textId="77777777" w:rsidR="00772C98" w:rsidRPr="00772C98" w:rsidRDefault="00772C98" w:rsidP="00772C9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19" w:hanging="469"/>
        <w:rPr>
          <w:rFonts w:ascii="Calibri Light" w:hAnsi="Calibri Light" w:cs="Calibri Light"/>
          <w:kern w:val="0"/>
          <w:sz w:val="22"/>
          <w:szCs w:val="22"/>
        </w:rPr>
      </w:pPr>
      <w:bookmarkStart w:id="0" w:name="Ineligible_Expenses"/>
      <w:bookmarkStart w:id="1" w:name="Budgets"/>
      <w:bookmarkStart w:id="2" w:name="_bookmark2"/>
      <w:bookmarkStart w:id="3" w:name="_bookmark3"/>
      <w:bookmarkEnd w:id="0"/>
      <w:bookmarkEnd w:id="1"/>
      <w:bookmarkEnd w:id="2"/>
      <w:bookmarkEnd w:id="3"/>
      <w:r w:rsidRPr="00772C98">
        <w:rPr>
          <w:rFonts w:ascii="Calibri Light" w:hAnsi="Calibri Light" w:cs="Calibri Light"/>
          <w:kern w:val="0"/>
          <w:sz w:val="22"/>
          <w:szCs w:val="22"/>
        </w:rPr>
        <w:t>Family engagement and parenting skills activities that promote parental involvement and family literacy</w:t>
      </w:r>
    </w:p>
    <w:p w14:paraId="05D9746E" w14:textId="77777777" w:rsidR="00772C98" w:rsidRPr="00772C98" w:rsidRDefault="00772C98" w:rsidP="00772C98">
      <w:pPr>
        <w:numPr>
          <w:ilvl w:val="0"/>
          <w:numId w:val="1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before="2" w:after="0" w:line="237" w:lineRule="auto"/>
        <w:ind w:left="920" w:right="324" w:hanging="470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Other activities as identified by the local community to establish and/or expand access to summer and afterschool programming</w:t>
      </w:r>
    </w:p>
    <w:p w14:paraId="02545311" w14:textId="77777777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Calibri Light" w:hAnsi="Calibri Light" w:cs="Calibri Light"/>
          <w:kern w:val="0"/>
          <w:sz w:val="22"/>
          <w:szCs w:val="22"/>
        </w:rPr>
      </w:pPr>
    </w:p>
    <w:p w14:paraId="4E1A4CFB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6DD0FC31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79084121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3A366E60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768275A8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484BFE2B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315BAC0B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5A35676C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5D18F803" w14:textId="77777777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Times New Roman" w:hAnsi="Times New Roman" w:cs="Times New Roman"/>
          <w:kern w:val="0"/>
        </w:rPr>
      </w:pPr>
    </w:p>
    <w:p w14:paraId="78036201" w14:textId="46F4968C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0"/>
        <w:rPr>
          <w:rFonts w:ascii="Calibri Light" w:hAnsi="Calibri Light" w:cs="Calibri Light"/>
          <w:b/>
          <w:bCs/>
          <w:kern w:val="0"/>
          <w:sz w:val="28"/>
          <w:szCs w:val="28"/>
        </w:rPr>
      </w:pPr>
      <w:hyperlink w:anchor="bookmark2" w:history="1">
        <w:r w:rsidRPr="00772C98">
          <w:rPr>
            <w:rFonts w:ascii="Calibri Light" w:hAnsi="Calibri Light" w:cs="Calibri Light"/>
            <w:b/>
            <w:bCs/>
            <w:kern w:val="0"/>
            <w:sz w:val="28"/>
            <w:szCs w:val="28"/>
            <w:u w:val="single"/>
          </w:rPr>
          <w:t>Ineligible Expenses</w:t>
        </w:r>
      </w:hyperlink>
    </w:p>
    <w:p w14:paraId="34D3AE5D" w14:textId="77777777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before="25" w:after="0" w:line="268" w:lineRule="exact"/>
        <w:ind w:left="200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The following activities and associated expenses are not eligible to be funded by the BOOST Grants:</w:t>
      </w:r>
    </w:p>
    <w:p w14:paraId="7542EA2B" w14:textId="77777777" w:rsidR="006E3F37" w:rsidRPr="00772C98" w:rsidRDefault="006E3F37" w:rsidP="006E3F37">
      <w:pPr>
        <w:numPr>
          <w:ilvl w:val="1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32"/>
          <w:szCs w:val="32"/>
        </w:rPr>
      </w:pPr>
      <w:r w:rsidRPr="006E3F37">
        <w:rPr>
          <w:rFonts w:ascii="Calibri Light" w:hAnsi="Calibri Light" w:cs="Calibri Light"/>
          <w:kern w:val="0"/>
          <w:sz w:val="32"/>
          <w:szCs w:val="32"/>
        </w:rPr>
        <w:t xml:space="preserve">No Single item can exceed $4999.99 in the GRPA Boost 2.0  </w:t>
      </w:r>
    </w:p>
    <w:p w14:paraId="23DBDBF1" w14:textId="77777777" w:rsidR="006E3F37" w:rsidRPr="006E3F37" w:rsidRDefault="006E3F37" w:rsidP="006E3F37">
      <w:pPr>
        <w:numPr>
          <w:ilvl w:val="1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28"/>
          <w:szCs w:val="28"/>
        </w:rPr>
      </w:pPr>
      <w:r w:rsidRPr="006E3F37">
        <w:rPr>
          <w:rFonts w:ascii="Calibri Light" w:hAnsi="Calibri Light" w:cs="Calibri Light"/>
          <w:kern w:val="0"/>
          <w:sz w:val="28"/>
          <w:szCs w:val="28"/>
        </w:rPr>
        <w:t xml:space="preserve">Technology expenses over 5000.00 per item are not allowed in the GRPA Boost 2.0 </w:t>
      </w:r>
    </w:p>
    <w:p w14:paraId="44918424" w14:textId="77777777" w:rsidR="006E3F37" w:rsidRPr="006E3F37" w:rsidRDefault="006E3F37" w:rsidP="006E3F37">
      <w:pPr>
        <w:numPr>
          <w:ilvl w:val="1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5"/>
        <w:rPr>
          <w:rFonts w:ascii="Calibri Light" w:hAnsi="Calibri Light" w:cs="Calibri Light"/>
          <w:color w:val="000000"/>
          <w:kern w:val="0"/>
          <w:sz w:val="28"/>
          <w:szCs w:val="28"/>
        </w:rPr>
      </w:pPr>
      <w:r w:rsidRPr="006E3F37">
        <w:rPr>
          <w:rFonts w:ascii="Calibri Light" w:hAnsi="Calibri Light" w:cs="Calibri Light"/>
          <w:kern w:val="0"/>
          <w:sz w:val="28"/>
          <w:szCs w:val="28"/>
        </w:rPr>
        <w:t xml:space="preserve">Capital Expenditures are not allowed in the GRPA Boost 2.0 </w:t>
      </w:r>
    </w:p>
    <w:p w14:paraId="37D4E2DA" w14:textId="77CCC46B" w:rsidR="00772C98" w:rsidRPr="00772C98" w:rsidRDefault="00772C98" w:rsidP="00772C98">
      <w:pPr>
        <w:numPr>
          <w:ilvl w:val="0"/>
          <w:numId w:val="1"/>
        </w:numPr>
        <w:tabs>
          <w:tab w:val="left" w:pos="918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918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Pre-award expenses</w:t>
      </w:r>
    </w:p>
    <w:p w14:paraId="7D0FA074" w14:textId="77777777" w:rsidR="00772C98" w:rsidRPr="00772C98" w:rsidRDefault="00772C98" w:rsidP="00772C98">
      <w:pPr>
        <w:numPr>
          <w:ilvl w:val="0"/>
          <w:numId w:val="1"/>
        </w:numPr>
        <w:tabs>
          <w:tab w:val="left" w:pos="91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18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Field trips purely for entertainment purposes</w:t>
      </w:r>
    </w:p>
    <w:p w14:paraId="5B8B8B7C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Field trip tickets purchased in advance for those who do not attend</w:t>
      </w:r>
    </w:p>
    <w:p w14:paraId="1372EBF1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Advertisements, promotional or marketing items</w:t>
      </w:r>
    </w:p>
    <w:p w14:paraId="3AD23280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before="1" w:after="0" w:line="279" w:lineRule="exact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Decorative items</w:t>
      </w:r>
    </w:p>
    <w:p w14:paraId="2CE829F3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Purchase of facilities or land acquisition</w:t>
      </w:r>
    </w:p>
    <w:p w14:paraId="619E13C3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Capital improvements and permanent renovations</w:t>
      </w:r>
    </w:p>
    <w:p w14:paraId="0868FA6F" w14:textId="77777777" w:rsidR="00772C98" w:rsidRPr="00772C98" w:rsidRDefault="00772C98" w:rsidP="00772C98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19" w:hanging="359"/>
        <w:rPr>
          <w:rFonts w:ascii="Calibri Light" w:hAnsi="Calibri Light" w:cs="Calibri Light"/>
          <w:kern w:val="0"/>
          <w:sz w:val="28"/>
          <w:szCs w:val="28"/>
        </w:rPr>
      </w:pPr>
      <w:r w:rsidRPr="00772C98">
        <w:rPr>
          <w:rFonts w:ascii="Calibri Light" w:hAnsi="Calibri Light" w:cs="Calibri Light"/>
          <w:kern w:val="0"/>
          <w:sz w:val="28"/>
          <w:szCs w:val="28"/>
        </w:rPr>
        <w:t>Dues to organizations, federations, or societies for personal benefits</w:t>
      </w:r>
    </w:p>
    <w:p w14:paraId="3E5C1897" w14:textId="77777777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2"/>
          <w:szCs w:val="22"/>
        </w:rPr>
      </w:pPr>
    </w:p>
    <w:p w14:paraId="6E282F65" w14:textId="77777777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rPr>
          <w:rFonts w:ascii="Calibri Light" w:hAnsi="Calibri Light" w:cs="Calibri Light"/>
          <w:kern w:val="0"/>
          <w:sz w:val="22"/>
          <w:szCs w:val="22"/>
        </w:rPr>
      </w:pPr>
      <w:r w:rsidRPr="00772C98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IMPORTANT NOTE: This is not an all-inclusive list of allowable and unallowable expenses. </w:t>
      </w:r>
      <w:r w:rsidRPr="00772C98">
        <w:rPr>
          <w:rFonts w:ascii="Calibri Light" w:hAnsi="Calibri Light" w:cs="Calibri Light"/>
          <w:kern w:val="0"/>
          <w:sz w:val="22"/>
          <w:szCs w:val="22"/>
        </w:rPr>
        <w:t>If you have questions</w:t>
      </w:r>
    </w:p>
    <w:p w14:paraId="16AF2E07" w14:textId="6F46B940" w:rsidR="00772C98" w:rsidRP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 Light" w:hAnsi="Calibri Light" w:cs="Calibri Light"/>
          <w:color w:val="000000"/>
          <w:kern w:val="0"/>
          <w:sz w:val="22"/>
          <w:szCs w:val="22"/>
        </w:rPr>
      </w:pPr>
      <w:r w:rsidRPr="00772C98">
        <w:rPr>
          <w:rFonts w:ascii="Calibri Light" w:hAnsi="Calibri Light" w:cs="Calibri Light"/>
          <w:kern w:val="0"/>
          <w:sz w:val="22"/>
          <w:szCs w:val="22"/>
        </w:rPr>
        <w:t>about whether an expense is allowable or unallowable, please contact</w:t>
      </w:r>
      <w:r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hyperlink r:id="rId14" w:history="1">
        <w:r w:rsidRPr="00D002EA">
          <w:rPr>
            <w:rStyle w:val="Hyperlink"/>
            <w:rFonts w:ascii="Calibri Light" w:hAnsi="Calibri Light" w:cs="Calibri Light"/>
            <w:kern w:val="0"/>
            <w:sz w:val="22"/>
            <w:szCs w:val="22"/>
          </w:rPr>
          <w:t>admin@grpa.org</w:t>
        </w:r>
      </w:hyperlink>
      <w:r>
        <w:rPr>
          <w:rFonts w:ascii="Calibri Light" w:hAnsi="Calibri Light" w:cs="Calibri Light"/>
          <w:kern w:val="0"/>
          <w:sz w:val="22"/>
          <w:szCs w:val="22"/>
        </w:rPr>
        <w:t xml:space="preserve"> and then if needed, </w:t>
      </w:r>
      <w:r w:rsidRPr="00772C98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hyperlink r:id="rId15" w:history="1">
        <w:r w:rsidRPr="00772C98">
          <w:rPr>
            <w:rFonts w:ascii="Calibri Light" w:hAnsi="Calibri Light" w:cs="Calibri Light"/>
            <w:color w:val="0562C1"/>
            <w:kern w:val="0"/>
            <w:sz w:val="22"/>
            <w:szCs w:val="22"/>
            <w:u w:val="single"/>
          </w:rPr>
          <w:t>BOOST@georgiavoices.org</w:t>
        </w:r>
        <w:r w:rsidRPr="00772C98">
          <w:rPr>
            <w:rFonts w:ascii="Calibri Light" w:hAnsi="Calibri Light" w:cs="Calibri Light"/>
            <w:color w:val="000000"/>
            <w:kern w:val="0"/>
            <w:sz w:val="22"/>
            <w:szCs w:val="22"/>
          </w:rPr>
          <w:t>.</w:t>
        </w:r>
      </w:hyperlink>
    </w:p>
    <w:p w14:paraId="0AFB3E83" w14:textId="77777777" w:rsidR="00772C98" w:rsidRDefault="00772C98"/>
    <w:p w14:paraId="1F8FF732" w14:textId="59E9E1AA" w:rsidR="00772C98" w:rsidRDefault="00772C98" w:rsidP="00772C98">
      <w:pPr>
        <w:kinsoku w:val="0"/>
        <w:overflowPunct w:val="0"/>
        <w:autoSpaceDE w:val="0"/>
        <w:autoSpaceDN w:val="0"/>
        <w:adjustRightInd w:val="0"/>
        <w:spacing w:after="0" w:line="183" w:lineRule="exact"/>
        <w:ind w:left="40"/>
      </w:pPr>
      <w:r>
        <w:rPr>
          <w:rFonts w:ascii="Calibri Light" w:hAnsi="Calibri Light" w:cs="Calibri Light"/>
          <w:kern w:val="0"/>
          <w:sz w:val="18"/>
          <w:szCs w:val="18"/>
        </w:rPr>
        <w:t xml:space="preserve">Copied from </w:t>
      </w:r>
      <w:proofErr w:type="gramStart"/>
      <w:r>
        <w:rPr>
          <w:rFonts w:ascii="Calibri Light" w:hAnsi="Calibri Light" w:cs="Calibri Light"/>
          <w:kern w:val="0"/>
          <w:sz w:val="18"/>
          <w:szCs w:val="18"/>
        </w:rPr>
        <w:t xml:space="preserve">the 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BOOST</w:t>
      </w:r>
      <w:proofErr w:type="gramEnd"/>
      <w:r w:rsidRPr="00772C98">
        <w:rPr>
          <w:rFonts w:ascii="Calibri Light" w:hAnsi="Calibri Light" w:cs="Calibri Light"/>
          <w:spacing w:val="-1"/>
          <w:kern w:val="0"/>
          <w:sz w:val="18"/>
          <w:szCs w:val="18"/>
        </w:rPr>
        <w:t xml:space="preserve">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Grants Program</w:t>
      </w:r>
      <w:r w:rsidRPr="00772C98">
        <w:rPr>
          <w:rFonts w:ascii="Calibri Light" w:hAnsi="Calibri Light" w:cs="Calibri Light"/>
          <w:spacing w:val="-1"/>
          <w:kern w:val="0"/>
          <w:sz w:val="18"/>
          <w:szCs w:val="18"/>
        </w:rPr>
        <w:t xml:space="preserve">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RFP</w:t>
      </w:r>
      <w:r>
        <w:rPr>
          <w:rFonts w:ascii="Calibri Light" w:hAnsi="Calibri Light" w:cs="Calibri Light"/>
          <w:kern w:val="0"/>
          <w:sz w:val="18"/>
          <w:szCs w:val="18"/>
        </w:rPr>
        <w:t xml:space="preserve">;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Page</w:t>
      </w:r>
      <w:r w:rsidRPr="00772C98">
        <w:rPr>
          <w:rFonts w:ascii="Calibri Light" w:hAnsi="Calibri Light" w:cs="Calibri Light"/>
          <w:spacing w:val="-1"/>
          <w:kern w:val="0"/>
          <w:sz w:val="18"/>
          <w:szCs w:val="18"/>
        </w:rPr>
        <w:t xml:space="preserve"> </w:t>
      </w:r>
      <w:r>
        <w:rPr>
          <w:rFonts w:ascii="Calibri Light" w:hAnsi="Calibri Light" w:cs="Calibri Light"/>
          <w:spacing w:val="-1"/>
          <w:kern w:val="0"/>
          <w:sz w:val="18"/>
          <w:szCs w:val="18"/>
        </w:rPr>
        <w:t>13-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14 of</w:t>
      </w:r>
      <w:r w:rsidRPr="00772C98">
        <w:rPr>
          <w:rFonts w:ascii="Calibri Light" w:hAnsi="Calibri Light" w:cs="Calibri Light"/>
          <w:spacing w:val="-1"/>
          <w:kern w:val="0"/>
          <w:sz w:val="18"/>
          <w:szCs w:val="18"/>
        </w:rPr>
        <w:t xml:space="preserve">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34</w:t>
      </w:r>
      <w:r>
        <w:rPr>
          <w:rFonts w:ascii="Calibri Light" w:hAnsi="Calibri Light" w:cs="Calibri Light"/>
          <w:kern w:val="0"/>
          <w:sz w:val="18"/>
          <w:szCs w:val="18"/>
        </w:rPr>
        <w:t xml:space="preserve">   </w:t>
      </w:r>
      <w:r w:rsidRPr="00772C98">
        <w:rPr>
          <w:rFonts w:ascii="Calibri Light" w:hAnsi="Calibri Light" w:cs="Calibri Light"/>
          <w:kern w:val="0"/>
          <w:sz w:val="18"/>
          <w:szCs w:val="18"/>
        </w:rPr>
        <w:t>*Last updated 07/08/2025</w:t>
      </w:r>
    </w:p>
    <w:sectPr w:rsidR="00772C98" w:rsidSect="00772C98">
      <w:type w:val="continuous"/>
      <w:pgSz w:w="12240" w:h="15840"/>
      <w:pgMar w:top="0" w:right="1080" w:bottom="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C88E" w14:textId="77777777" w:rsidR="00BE27AA" w:rsidRDefault="00BE27AA" w:rsidP="00772C98">
      <w:pPr>
        <w:spacing w:after="0" w:line="240" w:lineRule="auto"/>
      </w:pPr>
      <w:r>
        <w:separator/>
      </w:r>
    </w:p>
  </w:endnote>
  <w:endnote w:type="continuationSeparator" w:id="0">
    <w:p w14:paraId="1F77D727" w14:textId="77777777" w:rsidR="00BE27AA" w:rsidRDefault="00BE27AA" w:rsidP="007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1EF9" w14:textId="77777777" w:rsidR="006E3F37" w:rsidRDefault="006E3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AE43" w14:textId="77777777" w:rsidR="006E3F37" w:rsidRDefault="006E3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60B7" w14:textId="77777777" w:rsidR="006E3F37" w:rsidRDefault="006E3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1070" w14:textId="77777777" w:rsidR="00BE27AA" w:rsidRDefault="00BE27AA" w:rsidP="00772C98">
      <w:pPr>
        <w:spacing w:after="0" w:line="240" w:lineRule="auto"/>
      </w:pPr>
      <w:r>
        <w:separator/>
      </w:r>
    </w:p>
  </w:footnote>
  <w:footnote w:type="continuationSeparator" w:id="0">
    <w:p w14:paraId="4CE05169" w14:textId="77777777" w:rsidR="00BE27AA" w:rsidRDefault="00BE27AA" w:rsidP="007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1C9D" w14:textId="77777777" w:rsidR="006E3F37" w:rsidRDefault="006E3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BC39" w14:textId="0AC2E9EE" w:rsidR="00772C98" w:rsidRPr="00772C98" w:rsidRDefault="00772C98">
    <w:pPr>
      <w:pStyle w:val="Header"/>
      <w:rPr>
        <w:sz w:val="28"/>
        <w:szCs w:val="28"/>
      </w:rPr>
    </w:pPr>
    <w:r w:rsidRPr="00772C98">
      <w:rPr>
        <w:sz w:val="28"/>
        <w:szCs w:val="28"/>
      </w:rPr>
      <w:t>GRPA BOOST 2.0 Eligible and Ineligible Expenses – copied from the GSAN RFP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B12E" w14:textId="77777777" w:rsidR="006E3F37" w:rsidRDefault="006E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16" w:hanging="361"/>
      </w:pPr>
    </w:lvl>
    <w:lvl w:ilvl="2">
      <w:numFmt w:val="bullet"/>
      <w:lvlText w:val="•"/>
      <w:lvlJc w:val="left"/>
      <w:pPr>
        <w:ind w:left="2952" w:hanging="361"/>
      </w:pPr>
    </w:lvl>
    <w:lvl w:ilvl="3">
      <w:numFmt w:val="bullet"/>
      <w:lvlText w:val="•"/>
      <w:lvlJc w:val="left"/>
      <w:pPr>
        <w:ind w:left="3888" w:hanging="361"/>
      </w:pPr>
    </w:lvl>
    <w:lvl w:ilvl="4">
      <w:numFmt w:val="bullet"/>
      <w:lvlText w:val="•"/>
      <w:lvlJc w:val="left"/>
      <w:pPr>
        <w:ind w:left="4824" w:hanging="361"/>
      </w:pPr>
    </w:lvl>
    <w:lvl w:ilvl="5">
      <w:numFmt w:val="bullet"/>
      <w:lvlText w:val="•"/>
      <w:lvlJc w:val="left"/>
      <w:pPr>
        <w:ind w:left="5760" w:hanging="361"/>
      </w:pPr>
    </w:lvl>
    <w:lvl w:ilvl="6">
      <w:numFmt w:val="bullet"/>
      <w:lvlText w:val="•"/>
      <w:lvlJc w:val="left"/>
      <w:pPr>
        <w:ind w:left="6696" w:hanging="361"/>
      </w:pPr>
    </w:lvl>
    <w:lvl w:ilvl="7">
      <w:numFmt w:val="bullet"/>
      <w:lvlText w:val="•"/>
      <w:lvlJc w:val="left"/>
      <w:pPr>
        <w:ind w:left="7632" w:hanging="361"/>
      </w:pPr>
    </w:lvl>
    <w:lvl w:ilvl="8">
      <w:numFmt w:val="bullet"/>
      <w:lvlText w:val="•"/>
      <w:lvlJc w:val="left"/>
      <w:pPr>
        <w:ind w:left="856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0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016" w:hanging="361"/>
      </w:pPr>
    </w:lvl>
    <w:lvl w:ilvl="2">
      <w:numFmt w:val="bullet"/>
      <w:lvlText w:val="•"/>
      <w:lvlJc w:val="left"/>
      <w:pPr>
        <w:ind w:left="2952" w:hanging="361"/>
      </w:pPr>
    </w:lvl>
    <w:lvl w:ilvl="3">
      <w:numFmt w:val="bullet"/>
      <w:lvlText w:val="•"/>
      <w:lvlJc w:val="left"/>
      <w:pPr>
        <w:ind w:left="3888" w:hanging="361"/>
      </w:pPr>
    </w:lvl>
    <w:lvl w:ilvl="4">
      <w:numFmt w:val="bullet"/>
      <w:lvlText w:val="•"/>
      <w:lvlJc w:val="left"/>
      <w:pPr>
        <w:ind w:left="4824" w:hanging="361"/>
      </w:pPr>
    </w:lvl>
    <w:lvl w:ilvl="5">
      <w:numFmt w:val="bullet"/>
      <w:lvlText w:val="•"/>
      <w:lvlJc w:val="left"/>
      <w:pPr>
        <w:ind w:left="5760" w:hanging="361"/>
      </w:pPr>
    </w:lvl>
    <w:lvl w:ilvl="6">
      <w:numFmt w:val="bullet"/>
      <w:lvlText w:val="•"/>
      <w:lvlJc w:val="left"/>
      <w:pPr>
        <w:ind w:left="6696" w:hanging="361"/>
      </w:pPr>
    </w:lvl>
    <w:lvl w:ilvl="7">
      <w:numFmt w:val="bullet"/>
      <w:lvlText w:val="•"/>
      <w:lvlJc w:val="left"/>
      <w:pPr>
        <w:ind w:left="7632" w:hanging="361"/>
      </w:pPr>
    </w:lvl>
    <w:lvl w:ilvl="8">
      <w:numFmt w:val="bullet"/>
      <w:lvlText w:val="•"/>
      <w:lvlJc w:val="left"/>
      <w:pPr>
        <w:ind w:left="8568" w:hanging="361"/>
      </w:pPr>
    </w:lvl>
  </w:abstractNum>
  <w:num w:numId="1" w16cid:durableId="1113357906">
    <w:abstractNumId w:val="1"/>
  </w:num>
  <w:num w:numId="2" w16cid:durableId="194970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98"/>
    <w:rsid w:val="00094F11"/>
    <w:rsid w:val="004F2B1E"/>
    <w:rsid w:val="006E3F37"/>
    <w:rsid w:val="00772C98"/>
    <w:rsid w:val="009535D6"/>
    <w:rsid w:val="009853E3"/>
    <w:rsid w:val="00BE27AA"/>
    <w:rsid w:val="00CA417E"/>
    <w:rsid w:val="00C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B9D2F"/>
  <w15:chartTrackingRefBased/>
  <w15:docId w15:val="{7EF43A49-48B5-418C-8BB3-9298B38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C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98"/>
  </w:style>
  <w:style w:type="paragraph" w:styleId="Footer">
    <w:name w:val="footer"/>
    <w:basedOn w:val="Normal"/>
    <w:link w:val="FooterChar"/>
    <w:uiPriority w:val="99"/>
    <w:unhideWhenUsed/>
    <w:rsid w:val="0077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fterschoolga.org/wp-content/uploads/2025/06/Expenditure-Prior-Approval-Form-1.pdf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OOST@georgiavoices.or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dmin@gr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3344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GRPA Admin</dc:creator>
  <cp:keywords/>
  <dc:description/>
  <cp:lastModifiedBy>GRPA Admin</cp:lastModifiedBy>
  <cp:revision>2</cp:revision>
  <cp:lastPrinted>2025-10-21T23:10:00Z</cp:lastPrinted>
  <dcterms:created xsi:type="dcterms:W3CDTF">2025-10-21T22:40:00Z</dcterms:created>
  <dcterms:modified xsi:type="dcterms:W3CDTF">2025-10-21T23:11:00Z</dcterms:modified>
</cp:coreProperties>
</file>