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2D695" w14:textId="4699DBF3" w:rsidR="00A3448D" w:rsidRPr="00572C85" w:rsidRDefault="00572C85" w:rsidP="00572C85">
      <w:pPr>
        <w:jc w:val="center"/>
        <w:rPr>
          <w:b/>
          <w:bCs/>
        </w:rPr>
      </w:pPr>
      <w:r w:rsidRPr="00572C85">
        <w:rPr>
          <w:b/>
          <w:bCs/>
        </w:rPr>
        <w:t>Grants from the Forest Service</w:t>
      </w:r>
    </w:p>
    <w:p w14:paraId="2347BF02" w14:textId="02C3DDD6" w:rsidR="00572C85" w:rsidRPr="00572C85" w:rsidRDefault="00572C85" w:rsidP="00572C85">
      <w:r w:rsidRPr="00572C85">
        <w:t>Below are some of the grants that will be discussed on Day 2</w:t>
      </w:r>
      <w:r w:rsidR="00136889">
        <w:t xml:space="preserve"> of the WFL Agreements Workshop</w:t>
      </w:r>
      <w:r>
        <w:t xml:space="preserve"> that may be able to support WFL efforts</w:t>
      </w:r>
      <w:r w:rsidRPr="00572C85">
        <w:t>. Note the December deadlines for some</w:t>
      </w:r>
      <w:r>
        <w:t>. Please contact Niki (</w:t>
      </w:r>
      <w:hyperlink r:id="rId5" w:history="1">
        <w:r w:rsidRPr="004F569B">
          <w:rPr>
            <w:rStyle w:val="Hyperlink"/>
          </w:rPr>
          <w:t>Niki.vonHedemann@nau.edu</w:t>
        </w:r>
      </w:hyperlink>
      <w:r>
        <w:t>) or Sean Foran (</w:t>
      </w:r>
      <w:hyperlink r:id="rId6" w:history="1">
        <w:r w:rsidRPr="004F569B">
          <w:rPr>
            <w:rStyle w:val="Hyperlink"/>
          </w:rPr>
          <w:t>Sean.Foran@usda.gov</w:t>
        </w:r>
      </w:hyperlink>
      <w:r>
        <w:t>), Lindsay Riggs (</w:t>
      </w:r>
      <w:hyperlink r:id="rId7" w:history="1">
        <w:r w:rsidRPr="004F569B">
          <w:rPr>
            <w:rStyle w:val="Hyperlink"/>
          </w:rPr>
          <w:t>lindsay.riggs@co-co.org</w:t>
        </w:r>
      </w:hyperlink>
      <w:r>
        <w:t>), and Tess Ryley (</w:t>
      </w:r>
      <w:hyperlink r:id="rId8" w:history="1">
        <w:r w:rsidRPr="004F569B">
          <w:rPr>
            <w:rStyle w:val="Hyperlink"/>
          </w:rPr>
          <w:t>therese.ryley@co-co.org</w:t>
        </w:r>
      </w:hyperlink>
      <w:r>
        <w:t xml:space="preserve">) for more information. They can </w:t>
      </w:r>
      <w:proofErr w:type="gramStart"/>
      <w:r>
        <w:t>provide assistance</w:t>
      </w:r>
      <w:proofErr w:type="gramEnd"/>
      <w:r>
        <w:t xml:space="preserve"> with applications.</w:t>
      </w:r>
      <w:r w:rsidRPr="00572C85">
        <w:t> </w:t>
      </w:r>
    </w:p>
    <w:p w14:paraId="127765C1" w14:textId="77777777" w:rsidR="00572C85" w:rsidRPr="00572C85" w:rsidRDefault="00572C85" w:rsidP="00572C85"/>
    <w:p w14:paraId="09874F2B" w14:textId="77777777" w:rsidR="00572C85" w:rsidRPr="00572C85" w:rsidRDefault="00572C85" w:rsidP="00572C85">
      <w:hyperlink r:id="rId9" w:history="1">
        <w:r w:rsidRPr="00572C85">
          <w:rPr>
            <w:rStyle w:val="Hyperlink"/>
          </w:rPr>
          <w:t>Wood Products Infrastructure Assistance Program (WPIA)</w:t>
        </w:r>
      </w:hyperlink>
      <w:r w:rsidRPr="00572C85">
        <w:t>  </w:t>
      </w:r>
    </w:p>
    <w:p w14:paraId="26F4E4FD" w14:textId="77777777" w:rsidR="00572C85" w:rsidRPr="00572C85" w:rsidRDefault="00572C85" w:rsidP="00572C85">
      <w:pPr>
        <w:numPr>
          <w:ilvl w:val="0"/>
          <w:numId w:val="1"/>
        </w:numPr>
      </w:pPr>
      <w:r w:rsidRPr="00572C85">
        <w:t>Provides financial assistance to an entity seeking to establish, reopen, retrofit, expand, or improve a sawmill or other wood-processing facility (</w:t>
      </w:r>
      <w:r w:rsidRPr="00572C85">
        <w:rPr>
          <w:b/>
          <w:bCs/>
        </w:rPr>
        <w:t>which can include firewood processing and firewood banks</w:t>
      </w:r>
      <w:r w:rsidRPr="00572C85">
        <w:t>).</w:t>
      </w:r>
      <w:r w:rsidRPr="00572C85">
        <w:rPr>
          <w:b/>
          <w:bCs/>
        </w:rPr>
        <w:t> </w:t>
      </w:r>
    </w:p>
    <w:p w14:paraId="1C017283" w14:textId="77777777" w:rsidR="00572C85" w:rsidRPr="00572C85" w:rsidRDefault="00572C85" w:rsidP="00572C85">
      <w:pPr>
        <w:numPr>
          <w:ilvl w:val="0"/>
          <w:numId w:val="1"/>
        </w:numPr>
      </w:pPr>
      <w:r w:rsidRPr="00572C85">
        <w:t>Stationary or permanently installed equipment are eligible for purchase with federal funds.</w:t>
      </w:r>
    </w:p>
    <w:p w14:paraId="7E92D2B1" w14:textId="77777777" w:rsidR="00572C85" w:rsidRPr="00572C85" w:rsidRDefault="00572C85" w:rsidP="00572C85">
      <w:pPr>
        <w:numPr>
          <w:ilvl w:val="0"/>
          <w:numId w:val="1"/>
        </w:numPr>
      </w:pPr>
      <w:r w:rsidRPr="00572C85">
        <w:t>Purchase of mobile equipment (e.g., forklifts, skidders, feller bunchers, implements or attachments to mobile equipment) will NOT be funded, </w:t>
      </w:r>
      <w:r w:rsidRPr="00572C85">
        <w:rPr>
          <w:b/>
          <w:bCs/>
        </w:rPr>
        <w:t>except for Tribal projects.</w:t>
      </w:r>
    </w:p>
    <w:p w14:paraId="61A9DEF6" w14:textId="77777777" w:rsidR="00572C85" w:rsidRPr="00572C85" w:rsidRDefault="00572C85" w:rsidP="00572C85">
      <w:pPr>
        <w:numPr>
          <w:ilvl w:val="0"/>
          <w:numId w:val="1"/>
        </w:numPr>
      </w:pPr>
      <w:r w:rsidRPr="00572C85">
        <w:t>Awards range from $50,000 to $1 million and </w:t>
      </w:r>
      <w:r w:rsidRPr="00572C85">
        <w:rPr>
          <w:b/>
          <w:bCs/>
        </w:rPr>
        <w:t>there is no match requirement for Tribal applicants.</w:t>
      </w:r>
    </w:p>
    <w:p w14:paraId="4CDB7D93" w14:textId="77777777" w:rsidR="00572C85" w:rsidRPr="00572C85" w:rsidRDefault="00572C85" w:rsidP="00572C85">
      <w:pPr>
        <w:numPr>
          <w:ilvl w:val="0"/>
          <w:numId w:val="1"/>
        </w:numPr>
      </w:pPr>
      <w:r w:rsidRPr="00572C85">
        <w:t>Application period closes December 18, 2024.</w:t>
      </w:r>
    </w:p>
    <w:p w14:paraId="1B6D540F" w14:textId="77777777" w:rsidR="00572C85" w:rsidRPr="00572C85" w:rsidRDefault="00572C85" w:rsidP="00572C85">
      <w:hyperlink r:id="rId10" w:history="1">
        <w:r w:rsidRPr="00572C85">
          <w:rPr>
            <w:rStyle w:val="Hyperlink"/>
          </w:rPr>
          <w:t>Community Wood (CW)</w:t>
        </w:r>
      </w:hyperlink>
      <w:r w:rsidRPr="00572C85">
        <w:t> </w:t>
      </w:r>
    </w:p>
    <w:p w14:paraId="4C3E8D41" w14:textId="77777777" w:rsidR="00572C85" w:rsidRPr="00572C85" w:rsidRDefault="00572C85" w:rsidP="00572C85">
      <w:pPr>
        <w:numPr>
          <w:ilvl w:val="0"/>
          <w:numId w:val="2"/>
        </w:numPr>
      </w:pPr>
      <w:r w:rsidRPr="00572C85">
        <w:t>Supports projects to install a thermally led community wood energy system or build or expand an innovative wood product facility. This could include supporting an existing sawmill facility.</w:t>
      </w:r>
    </w:p>
    <w:p w14:paraId="16BDCD3C" w14:textId="77777777" w:rsidR="00572C85" w:rsidRPr="00572C85" w:rsidRDefault="00572C85" w:rsidP="00572C85">
      <w:pPr>
        <w:numPr>
          <w:ilvl w:val="0"/>
          <w:numId w:val="2"/>
        </w:numPr>
      </w:pPr>
      <w:r w:rsidRPr="00572C85">
        <w:t>Up to $1m, no more than 35% of total capital cost.</w:t>
      </w:r>
    </w:p>
    <w:p w14:paraId="0A772961" w14:textId="77777777" w:rsidR="00572C85" w:rsidRPr="00572C85" w:rsidRDefault="00572C85" w:rsidP="00572C85">
      <w:pPr>
        <w:numPr>
          <w:ilvl w:val="0"/>
          <w:numId w:val="2"/>
        </w:numPr>
      </w:pPr>
      <w:r w:rsidRPr="00572C85">
        <w:t>Application period closes December 18, 2024.</w:t>
      </w:r>
    </w:p>
    <w:p w14:paraId="187B12A8" w14:textId="77777777" w:rsidR="00572C85" w:rsidRPr="00572C85" w:rsidRDefault="00572C85" w:rsidP="00572C85">
      <w:hyperlink r:id="rId11" w:history="1">
        <w:r w:rsidRPr="00572C85">
          <w:rPr>
            <w:rStyle w:val="Hyperlink"/>
          </w:rPr>
          <w:t>Wood Innovations Grant Program (WIG)</w:t>
        </w:r>
      </w:hyperlink>
    </w:p>
    <w:p w14:paraId="44877526" w14:textId="77777777" w:rsidR="00572C85" w:rsidRPr="00572C85" w:rsidRDefault="00572C85" w:rsidP="00572C85">
      <w:pPr>
        <w:numPr>
          <w:ilvl w:val="0"/>
          <w:numId w:val="3"/>
        </w:numPr>
      </w:pPr>
      <w:r w:rsidRPr="00572C85">
        <w:t>Supports projects that will substantially expand and accelerate wood products and wood energy markets throughout the United States.</w:t>
      </w:r>
    </w:p>
    <w:p w14:paraId="1BA5FC89" w14:textId="77777777" w:rsidR="00572C85" w:rsidRPr="00572C85" w:rsidRDefault="00572C85" w:rsidP="00572C85">
      <w:pPr>
        <w:numPr>
          <w:ilvl w:val="0"/>
          <w:numId w:val="3"/>
        </w:numPr>
      </w:pPr>
      <w:r w:rsidRPr="00572C85">
        <w:t>Up to $300,00, with a 1:1 match.</w:t>
      </w:r>
    </w:p>
    <w:p w14:paraId="49D5E36B" w14:textId="77777777" w:rsidR="00572C85" w:rsidRPr="00572C85" w:rsidRDefault="00572C85" w:rsidP="00572C85">
      <w:pPr>
        <w:numPr>
          <w:ilvl w:val="0"/>
          <w:numId w:val="3"/>
        </w:numPr>
      </w:pPr>
      <w:r w:rsidRPr="00572C85">
        <w:t>Application period closes December 11, 2024.</w:t>
      </w:r>
    </w:p>
    <w:p w14:paraId="2D825CEF" w14:textId="77777777" w:rsidR="00572C85" w:rsidRPr="00572C85" w:rsidRDefault="00572C85" w:rsidP="00572C85">
      <w:hyperlink r:id="rId12" w:history="1">
        <w:r w:rsidRPr="00572C85">
          <w:rPr>
            <w:rStyle w:val="Hyperlink"/>
          </w:rPr>
          <w:t>Tribal Landscape Scale Restoration Grant Program</w:t>
        </w:r>
      </w:hyperlink>
    </w:p>
    <w:p w14:paraId="7D340739" w14:textId="77777777" w:rsidR="00572C85" w:rsidRPr="00572C85" w:rsidRDefault="00572C85" w:rsidP="00572C85">
      <w:pPr>
        <w:numPr>
          <w:ilvl w:val="0"/>
          <w:numId w:val="4"/>
        </w:numPr>
      </w:pPr>
      <w:r w:rsidRPr="00572C85">
        <w:t>The purpose of the Landscape Scale Restoration competitive grant program is to encourage collaborative, science-based restoration of priority rural forest landscapes. This program supports high impact projects that lead to measurable outcomes on the landscape, leverage public and private resources, and further priorities identified in science-based restoration strategies.</w:t>
      </w:r>
    </w:p>
    <w:p w14:paraId="50062412" w14:textId="77777777" w:rsidR="00572C85" w:rsidRPr="00572C85" w:rsidRDefault="00572C85" w:rsidP="00572C85">
      <w:pPr>
        <w:numPr>
          <w:ilvl w:val="0"/>
          <w:numId w:val="4"/>
        </w:numPr>
      </w:pPr>
      <w:r w:rsidRPr="00572C85">
        <w:lastRenderedPageBreak/>
        <w:t>Up to $300,000, with a 1:1 match.</w:t>
      </w:r>
    </w:p>
    <w:p w14:paraId="16A2A4E0" w14:textId="77777777" w:rsidR="00572C85" w:rsidRPr="00572C85" w:rsidRDefault="00572C85" w:rsidP="00572C85">
      <w:pPr>
        <w:numPr>
          <w:ilvl w:val="0"/>
          <w:numId w:val="4"/>
        </w:numPr>
      </w:pPr>
      <w:r w:rsidRPr="00572C85">
        <w:t>Application period closes December 16, 2024.</w:t>
      </w:r>
    </w:p>
    <w:p w14:paraId="789BF326" w14:textId="77777777" w:rsidR="00572C85" w:rsidRPr="00572C85" w:rsidRDefault="00572C85" w:rsidP="00572C85">
      <w:hyperlink r:id="rId13" w:history="1">
        <w:r w:rsidRPr="00572C85">
          <w:rPr>
            <w:rStyle w:val="Hyperlink"/>
          </w:rPr>
          <w:t>Community Wildfire Defense Grant Program</w:t>
        </w:r>
      </w:hyperlink>
    </w:p>
    <w:p w14:paraId="11CBE77A" w14:textId="77777777" w:rsidR="00572C85" w:rsidRPr="00572C85" w:rsidRDefault="00572C85" w:rsidP="00572C85">
      <w:pPr>
        <w:numPr>
          <w:ilvl w:val="0"/>
          <w:numId w:val="5"/>
        </w:numPr>
      </w:pPr>
      <w:r w:rsidRPr="00572C85">
        <w:t xml:space="preserve">The Community Wildfire Defense Program (CWDG) is a grant program intended to help at-risk local communities and </w:t>
      </w:r>
      <w:proofErr w:type="gramStart"/>
      <w:r w:rsidRPr="00572C85">
        <w:t>Tribes</w:t>
      </w:r>
      <w:proofErr w:type="gramEnd"/>
      <w:r w:rsidRPr="00572C85">
        <w:t xml:space="preserve"> plan for and reduce wildfire risk through the development of Community Wildfire Protection Plans or projects such as thinning.</w:t>
      </w:r>
    </w:p>
    <w:p w14:paraId="567BF1BC" w14:textId="77777777" w:rsidR="00572C85" w:rsidRPr="00572C85" w:rsidRDefault="00572C85" w:rsidP="00572C85">
      <w:pPr>
        <w:numPr>
          <w:ilvl w:val="0"/>
          <w:numId w:val="5"/>
        </w:numPr>
      </w:pPr>
      <w:r w:rsidRPr="00572C85">
        <w:t xml:space="preserve">Expected to open later this </w:t>
      </w:r>
      <w:proofErr w:type="gramStart"/>
      <w:r w:rsidRPr="00572C85">
        <w:t>fall, and</w:t>
      </w:r>
      <w:proofErr w:type="gramEnd"/>
      <w:r w:rsidRPr="00572C85">
        <w:t xml:space="preserve"> will be open for 90 days.</w:t>
      </w:r>
    </w:p>
    <w:p w14:paraId="6BF59EE6" w14:textId="77777777" w:rsidR="00572C85" w:rsidRPr="00572C85" w:rsidRDefault="00572C85" w:rsidP="00572C85">
      <w:pPr>
        <w:numPr>
          <w:ilvl w:val="0"/>
          <w:numId w:val="5"/>
        </w:numPr>
      </w:pPr>
      <w:r w:rsidRPr="00572C85">
        <w:t>Up to $10m for projects, and $250k for developing Community Wildfire Protection Plans.</w:t>
      </w:r>
    </w:p>
    <w:p w14:paraId="48DDC315" w14:textId="77777777" w:rsidR="00572C85" w:rsidRPr="00572C85" w:rsidRDefault="00572C85" w:rsidP="00572C85">
      <w:hyperlink r:id="rId14" w:history="1">
        <w:r w:rsidRPr="00572C85">
          <w:rPr>
            <w:rStyle w:val="Hyperlink"/>
          </w:rPr>
          <w:t>First Nations Development Institute Ca</w:t>
        </w:r>
        <w:r w:rsidRPr="00572C85">
          <w:rPr>
            <w:rStyle w:val="Hyperlink"/>
          </w:rPr>
          <w:t>p</w:t>
        </w:r>
        <w:r w:rsidRPr="00572C85">
          <w:rPr>
            <w:rStyle w:val="Hyperlink"/>
          </w:rPr>
          <w:t>acity Support Grant</w:t>
        </w:r>
      </w:hyperlink>
    </w:p>
    <w:p w14:paraId="7E91DB43" w14:textId="77777777" w:rsidR="00572C85" w:rsidRPr="00572C85" w:rsidRDefault="00572C85" w:rsidP="00572C85">
      <w:pPr>
        <w:numPr>
          <w:ilvl w:val="0"/>
          <w:numId w:val="6"/>
        </w:numPr>
      </w:pPr>
      <w:r w:rsidRPr="00572C85">
        <w:t>Eligible Tribes and Native-led organizations can apply for up to $25,000 in capacity support funding. </w:t>
      </w:r>
    </w:p>
    <w:p w14:paraId="3C9582FD" w14:textId="77777777" w:rsidR="00572C85" w:rsidRPr="00572C85" w:rsidRDefault="00572C85" w:rsidP="00572C85">
      <w:pPr>
        <w:numPr>
          <w:ilvl w:val="0"/>
          <w:numId w:val="6"/>
        </w:numPr>
      </w:pPr>
      <w:r w:rsidRPr="00572C85">
        <w:t>These grants can be used to cover costs associated with building capacity such as strategic planning, feasibility assessments, grant writing, project and grant management training, development of conservation strategies, and more.</w:t>
      </w:r>
    </w:p>
    <w:p w14:paraId="4ECF023F" w14:textId="77777777" w:rsidR="00572C85" w:rsidRPr="00572C85" w:rsidRDefault="00572C85" w:rsidP="00572C85">
      <w:pPr>
        <w:numPr>
          <w:ilvl w:val="0"/>
          <w:numId w:val="6"/>
        </w:numPr>
      </w:pPr>
      <w:r w:rsidRPr="00572C85">
        <w:t>Up to $25,000</w:t>
      </w:r>
    </w:p>
    <w:p w14:paraId="7695F8A9" w14:textId="77777777" w:rsidR="00572C85" w:rsidRPr="00572C85" w:rsidRDefault="00572C85" w:rsidP="00572C85">
      <w:pPr>
        <w:numPr>
          <w:ilvl w:val="0"/>
          <w:numId w:val="6"/>
        </w:numPr>
      </w:pPr>
      <w:r w:rsidRPr="00572C85">
        <w:t>Ongoing application process </w:t>
      </w:r>
    </w:p>
    <w:p w14:paraId="353AA6B4" w14:textId="77777777" w:rsidR="00572C85" w:rsidRDefault="00572C85" w:rsidP="00572C85"/>
    <w:sectPr w:rsidR="00572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B051D"/>
    <w:multiLevelType w:val="multilevel"/>
    <w:tmpl w:val="B4F46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DB5C83"/>
    <w:multiLevelType w:val="multilevel"/>
    <w:tmpl w:val="9C22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C36632"/>
    <w:multiLevelType w:val="multilevel"/>
    <w:tmpl w:val="C1A4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9E7970"/>
    <w:multiLevelType w:val="multilevel"/>
    <w:tmpl w:val="03D8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3772BA"/>
    <w:multiLevelType w:val="multilevel"/>
    <w:tmpl w:val="0EB80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1119B4"/>
    <w:multiLevelType w:val="multilevel"/>
    <w:tmpl w:val="A60E0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1324534">
    <w:abstractNumId w:val="3"/>
  </w:num>
  <w:num w:numId="2" w16cid:durableId="724380038">
    <w:abstractNumId w:val="0"/>
  </w:num>
  <w:num w:numId="3" w16cid:durableId="1818565980">
    <w:abstractNumId w:val="5"/>
  </w:num>
  <w:num w:numId="4" w16cid:durableId="1711953313">
    <w:abstractNumId w:val="2"/>
  </w:num>
  <w:num w:numId="5" w16cid:durableId="1513257917">
    <w:abstractNumId w:val="4"/>
  </w:num>
  <w:num w:numId="6" w16cid:durableId="1373916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85"/>
    <w:rsid w:val="00136889"/>
    <w:rsid w:val="00572C85"/>
    <w:rsid w:val="006E14B6"/>
    <w:rsid w:val="00A3448D"/>
    <w:rsid w:val="00B730F8"/>
    <w:rsid w:val="00BA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A16DE"/>
  <w15:chartTrackingRefBased/>
  <w15:docId w15:val="{82A16ED6-7551-4151-918A-416CEFB1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2C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2C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2C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2C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2C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2C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2C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2C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2C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C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2C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2C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2C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2C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2C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2C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2C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2C85"/>
    <w:rPr>
      <w:rFonts w:eastAsiaTheme="majorEastAsia" w:cstheme="majorBidi"/>
      <w:color w:val="272727" w:themeColor="text1" w:themeTint="D8"/>
    </w:rPr>
  </w:style>
  <w:style w:type="paragraph" w:styleId="Title">
    <w:name w:val="Title"/>
    <w:basedOn w:val="Normal"/>
    <w:next w:val="Normal"/>
    <w:link w:val="TitleChar"/>
    <w:uiPriority w:val="10"/>
    <w:qFormat/>
    <w:rsid w:val="00572C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C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2C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2C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2C85"/>
    <w:pPr>
      <w:spacing w:before="160"/>
      <w:jc w:val="center"/>
    </w:pPr>
    <w:rPr>
      <w:i/>
      <w:iCs/>
      <w:color w:val="404040" w:themeColor="text1" w:themeTint="BF"/>
    </w:rPr>
  </w:style>
  <w:style w:type="character" w:customStyle="1" w:styleId="QuoteChar">
    <w:name w:val="Quote Char"/>
    <w:basedOn w:val="DefaultParagraphFont"/>
    <w:link w:val="Quote"/>
    <w:uiPriority w:val="29"/>
    <w:rsid w:val="00572C85"/>
    <w:rPr>
      <w:i/>
      <w:iCs/>
      <w:color w:val="404040" w:themeColor="text1" w:themeTint="BF"/>
    </w:rPr>
  </w:style>
  <w:style w:type="paragraph" w:styleId="ListParagraph">
    <w:name w:val="List Paragraph"/>
    <w:basedOn w:val="Normal"/>
    <w:uiPriority w:val="34"/>
    <w:qFormat/>
    <w:rsid w:val="00572C85"/>
    <w:pPr>
      <w:ind w:left="720"/>
      <w:contextualSpacing/>
    </w:pPr>
  </w:style>
  <w:style w:type="character" w:styleId="IntenseEmphasis">
    <w:name w:val="Intense Emphasis"/>
    <w:basedOn w:val="DefaultParagraphFont"/>
    <w:uiPriority w:val="21"/>
    <w:qFormat/>
    <w:rsid w:val="00572C85"/>
    <w:rPr>
      <w:i/>
      <w:iCs/>
      <w:color w:val="0F4761" w:themeColor="accent1" w:themeShade="BF"/>
    </w:rPr>
  </w:style>
  <w:style w:type="paragraph" w:styleId="IntenseQuote">
    <w:name w:val="Intense Quote"/>
    <w:basedOn w:val="Normal"/>
    <w:next w:val="Normal"/>
    <w:link w:val="IntenseQuoteChar"/>
    <w:uiPriority w:val="30"/>
    <w:qFormat/>
    <w:rsid w:val="00572C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2C85"/>
    <w:rPr>
      <w:i/>
      <w:iCs/>
      <w:color w:val="0F4761" w:themeColor="accent1" w:themeShade="BF"/>
    </w:rPr>
  </w:style>
  <w:style w:type="character" w:styleId="IntenseReference">
    <w:name w:val="Intense Reference"/>
    <w:basedOn w:val="DefaultParagraphFont"/>
    <w:uiPriority w:val="32"/>
    <w:qFormat/>
    <w:rsid w:val="00572C85"/>
    <w:rPr>
      <w:b/>
      <w:bCs/>
      <w:smallCaps/>
      <w:color w:val="0F4761" w:themeColor="accent1" w:themeShade="BF"/>
      <w:spacing w:val="5"/>
    </w:rPr>
  </w:style>
  <w:style w:type="character" w:styleId="Hyperlink">
    <w:name w:val="Hyperlink"/>
    <w:basedOn w:val="DefaultParagraphFont"/>
    <w:uiPriority w:val="99"/>
    <w:unhideWhenUsed/>
    <w:rsid w:val="00572C85"/>
    <w:rPr>
      <w:color w:val="467886" w:themeColor="hyperlink"/>
      <w:u w:val="single"/>
    </w:rPr>
  </w:style>
  <w:style w:type="character" w:styleId="UnresolvedMention">
    <w:name w:val="Unresolved Mention"/>
    <w:basedOn w:val="DefaultParagraphFont"/>
    <w:uiPriority w:val="99"/>
    <w:semiHidden/>
    <w:unhideWhenUsed/>
    <w:rsid w:val="00572C85"/>
    <w:rPr>
      <w:color w:val="605E5C"/>
      <w:shd w:val="clear" w:color="auto" w:fill="E1DFDD"/>
    </w:rPr>
  </w:style>
  <w:style w:type="character" w:styleId="FollowedHyperlink">
    <w:name w:val="FollowedHyperlink"/>
    <w:basedOn w:val="DefaultParagraphFont"/>
    <w:uiPriority w:val="99"/>
    <w:semiHidden/>
    <w:unhideWhenUsed/>
    <w:rsid w:val="0013688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493074">
      <w:bodyDiv w:val="1"/>
      <w:marLeft w:val="0"/>
      <w:marRight w:val="0"/>
      <w:marTop w:val="0"/>
      <w:marBottom w:val="0"/>
      <w:divBdr>
        <w:top w:val="none" w:sz="0" w:space="0" w:color="auto"/>
        <w:left w:val="none" w:sz="0" w:space="0" w:color="auto"/>
        <w:bottom w:val="none" w:sz="0" w:space="0" w:color="auto"/>
        <w:right w:val="none" w:sz="0" w:space="0" w:color="auto"/>
      </w:divBdr>
      <w:divsChild>
        <w:div w:id="1579241855">
          <w:marLeft w:val="0"/>
          <w:marRight w:val="0"/>
          <w:marTop w:val="0"/>
          <w:marBottom w:val="0"/>
          <w:divBdr>
            <w:top w:val="none" w:sz="0" w:space="0" w:color="auto"/>
            <w:left w:val="none" w:sz="0" w:space="0" w:color="auto"/>
            <w:bottom w:val="none" w:sz="0" w:space="0" w:color="auto"/>
            <w:right w:val="none" w:sz="0" w:space="0" w:color="auto"/>
          </w:divBdr>
          <w:divsChild>
            <w:div w:id="1481116140">
              <w:marLeft w:val="0"/>
              <w:marRight w:val="0"/>
              <w:marTop w:val="0"/>
              <w:marBottom w:val="0"/>
              <w:divBdr>
                <w:top w:val="none" w:sz="0" w:space="0" w:color="auto"/>
                <w:left w:val="none" w:sz="0" w:space="0" w:color="auto"/>
                <w:bottom w:val="none" w:sz="0" w:space="0" w:color="auto"/>
                <w:right w:val="none" w:sz="0" w:space="0" w:color="auto"/>
              </w:divBdr>
            </w:div>
            <w:div w:id="532033932">
              <w:marLeft w:val="0"/>
              <w:marRight w:val="0"/>
              <w:marTop w:val="0"/>
              <w:marBottom w:val="0"/>
              <w:divBdr>
                <w:top w:val="none" w:sz="0" w:space="0" w:color="auto"/>
                <w:left w:val="none" w:sz="0" w:space="0" w:color="auto"/>
                <w:bottom w:val="none" w:sz="0" w:space="0" w:color="auto"/>
                <w:right w:val="none" w:sz="0" w:space="0" w:color="auto"/>
              </w:divBdr>
              <w:divsChild>
                <w:div w:id="280460160">
                  <w:marLeft w:val="0"/>
                  <w:marRight w:val="0"/>
                  <w:marTop w:val="0"/>
                  <w:marBottom w:val="0"/>
                  <w:divBdr>
                    <w:top w:val="none" w:sz="0" w:space="0" w:color="auto"/>
                    <w:left w:val="none" w:sz="0" w:space="0" w:color="auto"/>
                    <w:bottom w:val="none" w:sz="0" w:space="0" w:color="auto"/>
                    <w:right w:val="none" w:sz="0" w:space="0" w:color="auto"/>
                  </w:divBdr>
                </w:div>
                <w:div w:id="667051898">
                  <w:marLeft w:val="0"/>
                  <w:marRight w:val="0"/>
                  <w:marTop w:val="0"/>
                  <w:marBottom w:val="0"/>
                  <w:divBdr>
                    <w:top w:val="none" w:sz="0" w:space="0" w:color="auto"/>
                    <w:left w:val="none" w:sz="0" w:space="0" w:color="auto"/>
                    <w:bottom w:val="none" w:sz="0" w:space="0" w:color="auto"/>
                    <w:right w:val="none" w:sz="0" w:space="0" w:color="auto"/>
                  </w:divBdr>
                </w:div>
                <w:div w:id="2002850011">
                  <w:marLeft w:val="0"/>
                  <w:marRight w:val="0"/>
                  <w:marTop w:val="0"/>
                  <w:marBottom w:val="0"/>
                  <w:divBdr>
                    <w:top w:val="none" w:sz="0" w:space="0" w:color="auto"/>
                    <w:left w:val="none" w:sz="0" w:space="0" w:color="auto"/>
                    <w:bottom w:val="none" w:sz="0" w:space="0" w:color="auto"/>
                    <w:right w:val="none" w:sz="0" w:space="0" w:color="auto"/>
                  </w:divBdr>
                </w:div>
                <w:div w:id="1206261393">
                  <w:marLeft w:val="0"/>
                  <w:marRight w:val="0"/>
                  <w:marTop w:val="0"/>
                  <w:marBottom w:val="0"/>
                  <w:divBdr>
                    <w:top w:val="none" w:sz="0" w:space="0" w:color="auto"/>
                    <w:left w:val="none" w:sz="0" w:space="0" w:color="auto"/>
                    <w:bottom w:val="none" w:sz="0" w:space="0" w:color="auto"/>
                    <w:right w:val="none" w:sz="0" w:space="0" w:color="auto"/>
                  </w:divBdr>
                </w:div>
                <w:div w:id="130169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19788">
      <w:bodyDiv w:val="1"/>
      <w:marLeft w:val="0"/>
      <w:marRight w:val="0"/>
      <w:marTop w:val="0"/>
      <w:marBottom w:val="0"/>
      <w:divBdr>
        <w:top w:val="none" w:sz="0" w:space="0" w:color="auto"/>
        <w:left w:val="none" w:sz="0" w:space="0" w:color="auto"/>
        <w:bottom w:val="none" w:sz="0" w:space="0" w:color="auto"/>
        <w:right w:val="none" w:sz="0" w:space="0" w:color="auto"/>
      </w:divBdr>
      <w:divsChild>
        <w:div w:id="372922258">
          <w:marLeft w:val="0"/>
          <w:marRight w:val="0"/>
          <w:marTop w:val="0"/>
          <w:marBottom w:val="0"/>
          <w:divBdr>
            <w:top w:val="none" w:sz="0" w:space="0" w:color="auto"/>
            <w:left w:val="none" w:sz="0" w:space="0" w:color="auto"/>
            <w:bottom w:val="none" w:sz="0" w:space="0" w:color="auto"/>
            <w:right w:val="none" w:sz="0" w:space="0" w:color="auto"/>
          </w:divBdr>
          <w:divsChild>
            <w:div w:id="145128830">
              <w:marLeft w:val="0"/>
              <w:marRight w:val="0"/>
              <w:marTop w:val="0"/>
              <w:marBottom w:val="0"/>
              <w:divBdr>
                <w:top w:val="none" w:sz="0" w:space="0" w:color="auto"/>
                <w:left w:val="none" w:sz="0" w:space="0" w:color="auto"/>
                <w:bottom w:val="none" w:sz="0" w:space="0" w:color="auto"/>
                <w:right w:val="none" w:sz="0" w:space="0" w:color="auto"/>
              </w:divBdr>
            </w:div>
            <w:div w:id="1976719560">
              <w:marLeft w:val="0"/>
              <w:marRight w:val="0"/>
              <w:marTop w:val="0"/>
              <w:marBottom w:val="0"/>
              <w:divBdr>
                <w:top w:val="none" w:sz="0" w:space="0" w:color="auto"/>
                <w:left w:val="none" w:sz="0" w:space="0" w:color="auto"/>
                <w:bottom w:val="none" w:sz="0" w:space="0" w:color="auto"/>
                <w:right w:val="none" w:sz="0" w:space="0" w:color="auto"/>
              </w:divBdr>
              <w:divsChild>
                <w:div w:id="416177437">
                  <w:marLeft w:val="0"/>
                  <w:marRight w:val="0"/>
                  <w:marTop w:val="0"/>
                  <w:marBottom w:val="0"/>
                  <w:divBdr>
                    <w:top w:val="none" w:sz="0" w:space="0" w:color="auto"/>
                    <w:left w:val="none" w:sz="0" w:space="0" w:color="auto"/>
                    <w:bottom w:val="none" w:sz="0" w:space="0" w:color="auto"/>
                    <w:right w:val="none" w:sz="0" w:space="0" w:color="auto"/>
                  </w:divBdr>
                </w:div>
                <w:div w:id="773286720">
                  <w:marLeft w:val="0"/>
                  <w:marRight w:val="0"/>
                  <w:marTop w:val="0"/>
                  <w:marBottom w:val="0"/>
                  <w:divBdr>
                    <w:top w:val="none" w:sz="0" w:space="0" w:color="auto"/>
                    <w:left w:val="none" w:sz="0" w:space="0" w:color="auto"/>
                    <w:bottom w:val="none" w:sz="0" w:space="0" w:color="auto"/>
                    <w:right w:val="none" w:sz="0" w:space="0" w:color="auto"/>
                  </w:divBdr>
                </w:div>
                <w:div w:id="343215438">
                  <w:marLeft w:val="0"/>
                  <w:marRight w:val="0"/>
                  <w:marTop w:val="0"/>
                  <w:marBottom w:val="0"/>
                  <w:divBdr>
                    <w:top w:val="none" w:sz="0" w:space="0" w:color="auto"/>
                    <w:left w:val="none" w:sz="0" w:space="0" w:color="auto"/>
                    <w:bottom w:val="none" w:sz="0" w:space="0" w:color="auto"/>
                    <w:right w:val="none" w:sz="0" w:space="0" w:color="auto"/>
                  </w:divBdr>
                </w:div>
                <w:div w:id="561260704">
                  <w:marLeft w:val="0"/>
                  <w:marRight w:val="0"/>
                  <w:marTop w:val="0"/>
                  <w:marBottom w:val="0"/>
                  <w:divBdr>
                    <w:top w:val="none" w:sz="0" w:space="0" w:color="auto"/>
                    <w:left w:val="none" w:sz="0" w:space="0" w:color="auto"/>
                    <w:bottom w:val="none" w:sz="0" w:space="0" w:color="auto"/>
                    <w:right w:val="none" w:sz="0" w:space="0" w:color="auto"/>
                  </w:divBdr>
                </w:div>
                <w:div w:id="79495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rese.ryley@co-co.org" TargetMode="External"/><Relationship Id="rId13" Type="http://schemas.openxmlformats.org/officeDocument/2006/relationships/hyperlink" Target="https://www.fs.usda.gov/managing-land/fire/grants/cwdg" TargetMode="External"/><Relationship Id="rId3" Type="http://schemas.openxmlformats.org/officeDocument/2006/relationships/settings" Target="settings.xml"/><Relationship Id="rId7" Type="http://schemas.openxmlformats.org/officeDocument/2006/relationships/hyperlink" Target="mailto:lindsay.riggs@co-co.org" TargetMode="External"/><Relationship Id="rId12" Type="http://schemas.openxmlformats.org/officeDocument/2006/relationships/hyperlink" Target="https://www.fs.usda.gov/managing-land/private-land/landscape-scale-restora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ean.Foran@usda.gov" TargetMode="External"/><Relationship Id="rId11" Type="http://schemas.openxmlformats.org/officeDocument/2006/relationships/hyperlink" Target="https://www.fs.usda.gov/science-technology/energy-forest-products/wood-innovation" TargetMode="External"/><Relationship Id="rId5" Type="http://schemas.openxmlformats.org/officeDocument/2006/relationships/hyperlink" Target="mailto:Niki.vonHedemann@nau.edu" TargetMode="External"/><Relationship Id="rId15" Type="http://schemas.openxmlformats.org/officeDocument/2006/relationships/fontTable" Target="fontTable.xml"/><Relationship Id="rId10" Type="http://schemas.openxmlformats.org/officeDocument/2006/relationships/hyperlink" Target="https://www.fs.usda.gov/science-technology/energy-forest-products/wood-innovation" TargetMode="External"/><Relationship Id="rId4" Type="http://schemas.openxmlformats.org/officeDocument/2006/relationships/webSettings" Target="webSettings.xml"/><Relationship Id="rId9" Type="http://schemas.openxmlformats.org/officeDocument/2006/relationships/hyperlink" Target="https://www.fs.usda.gov/science-technology/energy-forest-products/wood-innovation" TargetMode="External"/><Relationship Id="rId14" Type="http://schemas.openxmlformats.org/officeDocument/2006/relationships/hyperlink" Target="https://www.firstnations.org/projects/community-navig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7d49e9f-89e1-4aa0-99a3-d35b57b2ba03}" enabled="0" method="" siteId="{27d49e9f-89e1-4aa0-99a3-d35b57b2ba03}"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2</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 vonHedemann</dc:creator>
  <cp:keywords/>
  <dc:description/>
  <cp:lastModifiedBy>Niki vonHedemann</cp:lastModifiedBy>
  <cp:revision>4</cp:revision>
  <dcterms:created xsi:type="dcterms:W3CDTF">2024-11-08T21:48:00Z</dcterms:created>
  <dcterms:modified xsi:type="dcterms:W3CDTF">2024-11-08T22:07:00Z</dcterms:modified>
</cp:coreProperties>
</file>